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校园学习应用 · 参赛作品说明书</w:t>
      </w:r>
    </w:p>
    <w:p>
      <w:pPr>
        <w:spacing w:after="760"/>
      </w:pPr>
    </w:p>
    <w:p>
      <w:pPr>
        <w:pStyle w:val="Title"/>
        <w:jc w:val="center"/>
      </w:pPr>
      <w:r>
        <w:t>学习3g荣光，邮兵义不容辞</w:t>
      </w:r>
    </w:p>
    <w:p>
      <w:pPr>
        <w:pStyle w:val="Subtitle"/>
        <w:jc w:val="center"/>
      </w:pPr>
      <w:r>
        <w:t>考前提分助手 · 学习伙伴版</w:t>
      </w:r>
    </w:p>
    <w:p>
      <w:pPr>
        <w:jc w:val="center"/>
      </w:pPr>
      <w:r>
        <w:t>把零散资料转化为有依据、可执行、能反馈的复习行动</w:t>
      </w:r>
    </w:p>
    <w:p>
      <w:pPr>
        <w:spacing w:after="680"/>
      </w:pPr>
    </w:p>
    <w:p>
      <w:pPr>
        <w:spacing w:after="200"/>
        <w:jc w:val="center"/>
      </w:pPr>
      <w:r>
        <w:t>参赛队伍：会赢的</w:t>
      </w:r>
    </w:p>
    <w:p>
      <w:pPr>
        <w:spacing w:after="200"/>
        <w:jc w:val="center"/>
      </w:pPr>
      <w:r>
        <w:t>队长：李浚锋</w:t>
      </w:r>
    </w:p>
    <w:p>
      <w:pPr>
        <w:spacing w:after="200"/>
        <w:jc w:val="center"/>
      </w:pPr>
      <w:r>
        <w:t>其他队员：待确认</w:t>
      </w:r>
    </w:p>
    <w:p>
      <w:pPr>
        <w:spacing w:after="200"/>
        <w:jc w:val="center"/>
      </w:pPr>
      <w:r>
        <w:t>指导教师：待确认</w:t>
      </w:r>
    </w:p>
    <w:p>
      <w:pPr>
        <w:spacing w:after="200"/>
        <w:jc w:val="center"/>
      </w:pPr>
      <w:r>
        <w:t>运行平台：TeleAgent Desktop 2.7.0</w:t>
      </w:r>
    </w:p>
    <w:p>
      <w:pPr>
        <w:spacing w:after="200"/>
        <w:jc w:val="center"/>
      </w:pPr>
      <w:r>
        <w:t>内部标识：exam-score-maximizer-companion</w:t>
      </w:r>
    </w:p>
    <w:p>
      <w:pPr>
        <w:spacing w:after="200"/>
        <w:jc w:val="center"/>
      </w:pPr>
      <w:r>
        <w:t>编制日期：2026 年 10 月 17 日</w:t>
      </w:r>
    </w:p>
    <w:p>
      <w:pPr>
        <w:spacing w:after="240"/>
      </w:pPr>
    </w:p>
    <w:p>
      <w:pPr>
        <w:jc w:val="center"/>
      </w:pPr>
      <w:r>
        <w:rPr>
          <w:sz w:val="20"/>
        </w:rPr>
        <w:t>暂存审核版｜演示视频待补，来源与授权事项待确认</w:t>
      </w:r>
    </w:p>
    <w:p>
      <w:r>
        <w:br w:type="page"/>
      </w:r>
    </w:p>
    <w:p>
      <w:pPr>
        <w:spacing w:after="280"/>
      </w:pPr>
      <w:r>
        <w:rPr>
          <w:rFonts w:eastAsia="微软雅黑"/>
          <w:b/>
          <w:sz w:val="36"/>
        </w:rPr>
        <w:t>目录</w:t>
      </w:r>
    </w:p>
    <w:p>
      <w:r>
        <w:fldChar w:fldCharType="begin"/>
        <w:instrText xml:space="preserve"> TOC \o "1-1" \h \z \u </w:instrText>
        <w:fldChar w:fldCharType="separate"/>
        <w:t>第一章 作品简介</w:t>
        <w:br/>
        <w:t>第二章 设计思路</w:t>
        <w:br/>
        <w:t>第三章 功能模块</w:t>
        <w:br/>
        <w:t>第四章 技术实现与设计特色</w:t>
        <w:br/>
        <w:t>第五章 使用说明</w:t>
        <w:br/>
        <w:t>第六章 测试与效果</w:t>
        <w:br/>
        <w:t>第七章 应用前景与扩展方向</w:t>
        <w:br/>
        <w:t>第八章 原创性、版权与来源声明</w:t>
        <w:fldChar w:fldCharType="end"/>
      </w:r>
    </w:p>
    <w:p>
      <w:pPr>
        <w:pStyle w:val="Heading2"/>
      </w:pPr>
      <w:r>
        <w:t>阅读说明</w:t>
      </w:r>
    </w:p>
    <w:p>
      <w:r>
        <w:t>本作品关注一个具体问题：在资料零散、时间有限的考前阶段，怎样帮助学生确定下一步，并知道这一步是否真正学会。说明书依次介绍需求、设计、功能、使用方法和已有验证，最后说明来源与授权边界。</w:t>
      </w:r>
    </w:p>
    <w:p>
      <w:r>
        <w:t>第六章采用项目负责人补充确认的 Stage6 / Stage7 阶段性结果，并列明范围与局限。本轮仅做材料整理和离线核验，没有新增模型调用，也未将重命名后的正式 ID 再次注册到宿主。</w:t>
      </w:r>
    </w:p>
    <w:p>
      <w:r>
        <w:t>本包不含真实学生记录、API 密钥或视频。队长联系电话仅见独立联系信息文件，不写入本说明书或 Skill。角色及上游权属问题未确认前，材料不应直接公开提交。</w:t>
      </w:r>
    </w:p>
    <w:p>
      <w:r>
        <w:br w:type="page"/>
      </w:r>
    </w:p>
    <w:p>
      <w:pPr>
        <w:pStyle w:val="Heading1"/>
      </w:pPr>
      <w:r>
        <w:t>第一章 作品简介</w:t>
      </w:r>
    </w:p>
    <w:p>
      <w:pPr>
        <w:pStyle w:val="Heading2"/>
      </w:pPr>
      <w:r>
        <w:t>1.1 背景与目标用户</w:t>
      </w:r>
    </w:p>
    <w:p>
      <w:r>
        <w:t>考前最难的往往不只是知识本身，而是三件事同时发生：资料很多，却不知道先看哪一份；时间很紧，却分不清哪些基础不能跳过；题解似乎看懂了，换一道题又无从下手。讲义、教师重点、历年卷与错题并不缺，缺的是一条能把它们连接起来的复习路径。</w:t>
      </w:r>
    </w:p>
    <w:p>
      <w:r>
        <w:t>本作品面向有明确大学课程考试目标的学习者，尤其适合需要梳理范围、补齐关键前置知识并在有限时间内安排复测的学生。它不是正式考试代答工具，也不代替教师判断和学习者的实际练习。</w:t>
      </w:r>
    </w:p>
    <w:p>
      <w:pPr>
        <w:pStyle w:val="Heading2"/>
      </w:pPr>
      <w:r>
        <w:t>1.2 解决方案</w:t>
      </w:r>
    </w:p>
    <w:p>
      <w:r>
        <w:t>“考前提分助手 · 学习伙伴版”不是再生成一张通用时间表，而是把“先学什么、为什么先学、怎样验证学会”放进同一流程。它依据学生提供的课程材料建立考试地图，在真实时间预算内安排任务，再通过诊断、纠错和复测决定下一步。每个环节都可以单独使用，不让流程本身成为新的负担。</w:t>
      </w:r>
    </w:p>
    <w:p>
      <w:r>
        <w:t>可选的“学习伙伴”让辅导更像围绕共同任务的协作：发现错误时指出具体一步，遇到挫败时缩小当前任务，有不同意见时给出依据，而不是只说鼓励的话。它默认关闭，也可以随时退出；亲切的表达不能替代正确答案，更不能改变评分、范围或数据权限。</w:t>
      </w:r>
    </w:p>
    <w:p>
      <w:pPr>
        <w:pStyle w:val="Heading2"/>
      </w:pPr>
      <w:r>
        <w:t>1.3 应用价值与边界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056"/>
      </w:tblGrid>
      <w:tr>
        <w:trPr>
          <w:cantSplit/>
          <w:tblHeader/>
        </w:trPr>
        <w:tc>
          <w:tcPr>
            <w:tcW w:type="dxa" w:w="2736"/>
            <w:vAlign w:val="center"/>
            <w:tcMar>
              <w:top w:w="85" w:type="dxa"/>
              <w:left w:w="85" w:type="dxa"/>
              <w:bottom w:w="85" w:type="dxa"/>
              <w:right w:w="85" w:type="dxa"/>
            </w:tcMar>
            <w:shd w:fill="F2F2F2"/>
          </w:tcPr>
          <w:p>
            <w:pPr>
              <w:spacing w:after="60" w:line="269" w:lineRule="auto"/>
            </w:pPr>
            <w:r>
              <w:rPr>
                <w:b/>
                <w:sz w:val="21"/>
              </w:rPr>
              <w:t>痛点</w:t>
            </w:r>
          </w:p>
        </w:tc>
        <w:tc>
          <w:tcPr>
            <w:tcW w:type="dxa" w:w="7056"/>
            <w:vAlign w:val="center"/>
            <w:tcMar>
              <w:top w:w="85" w:type="dxa"/>
              <w:left w:w="85" w:type="dxa"/>
              <w:bottom w:w="85" w:type="dxa"/>
              <w:right w:w="85" w:type="dxa"/>
            </w:tcMar>
            <w:shd w:fill="F2F2F2"/>
          </w:tcPr>
          <w:p>
            <w:pPr>
              <w:spacing w:after="60" w:line="269" w:lineRule="auto"/>
            </w:pPr>
            <w:r>
              <w:rPr>
                <w:b/>
                <w:sz w:val="21"/>
              </w:rPr>
              <w:t>对应交付</w:t>
            </w:r>
          </w:p>
        </w:tc>
      </w:tr>
      <w:tr>
        <w:trPr>
          <w:cantSplit/>
        </w:trPr>
        <w:tc>
          <w:tcPr>
            <w:tcW w:type="dxa" w:w="2736"/>
            <w:vAlign w:val="center"/>
            <w:tcMar>
              <w:top w:w="85" w:type="dxa"/>
              <w:left w:w="85" w:type="dxa"/>
              <w:bottom w:w="85" w:type="dxa"/>
              <w:right w:w="85" w:type="dxa"/>
            </w:tcMar>
          </w:tcPr>
          <w:p>
            <w:pPr>
              <w:spacing w:after="60" w:line="269" w:lineRule="auto"/>
            </w:pPr>
            <w:r>
              <w:rPr>
                <w:b w:val="0"/>
                <w:sz w:val="21"/>
              </w:rPr>
              <w:t>资料多但重点不清</w:t>
            </w:r>
          </w:p>
        </w:tc>
        <w:tc>
          <w:tcPr>
            <w:tcW w:type="dxa" w:w="7056"/>
            <w:vAlign w:val="center"/>
            <w:tcMar>
              <w:top w:w="85" w:type="dxa"/>
              <w:left w:w="85" w:type="dxa"/>
              <w:bottom w:w="85" w:type="dxa"/>
              <w:right w:w="85" w:type="dxa"/>
            </w:tcMar>
          </w:tcPr>
          <w:p>
            <w:pPr>
              <w:spacing w:after="60" w:line="269" w:lineRule="auto"/>
            </w:pPr>
            <w:r>
              <w:rPr>
                <w:b w:val="0"/>
                <w:sz w:val="21"/>
              </w:rPr>
              <w:t>带来源与排除项的考试地图，未知内容如实留空</w:t>
            </w:r>
          </w:p>
        </w:tc>
      </w:tr>
      <w:tr>
        <w:trPr>
          <w:cantSplit/>
        </w:trPr>
        <w:tc>
          <w:tcPr>
            <w:tcW w:type="dxa" w:w="2736"/>
            <w:vAlign w:val="center"/>
            <w:tcMar>
              <w:top w:w="85" w:type="dxa"/>
              <w:left w:w="85" w:type="dxa"/>
              <w:bottom w:w="85" w:type="dxa"/>
              <w:right w:w="85" w:type="dxa"/>
            </w:tcMar>
          </w:tcPr>
          <w:p>
            <w:pPr>
              <w:spacing w:after="60" w:line="269" w:lineRule="auto"/>
            </w:pPr>
            <w:r>
              <w:rPr>
                <w:b w:val="0"/>
                <w:sz w:val="21"/>
              </w:rPr>
              <w:t>计划难以落地</w:t>
            </w:r>
          </w:p>
        </w:tc>
        <w:tc>
          <w:tcPr>
            <w:tcW w:type="dxa" w:w="7056"/>
            <w:vAlign w:val="center"/>
            <w:tcMar>
              <w:top w:w="85" w:type="dxa"/>
              <w:left w:w="85" w:type="dxa"/>
              <w:bottom w:w="85" w:type="dxa"/>
              <w:right w:w="85" w:type="dxa"/>
            </w:tcMar>
          </w:tcPr>
          <w:p>
            <w:pPr>
              <w:spacing w:after="60" w:line="269" w:lineRule="auto"/>
            </w:pPr>
            <w:r>
              <w:rPr>
                <w:b w:val="0"/>
                <w:sz w:val="21"/>
              </w:rPr>
              <w:t>任务分钟数、前置依赖、完成标准与预算内缓冲</w:t>
            </w:r>
          </w:p>
        </w:tc>
      </w:tr>
      <w:tr>
        <w:trPr>
          <w:cantSplit/>
        </w:trPr>
        <w:tc>
          <w:tcPr>
            <w:tcW w:type="dxa" w:w="2736"/>
            <w:vAlign w:val="center"/>
            <w:tcMar>
              <w:top w:w="85" w:type="dxa"/>
              <w:left w:w="85" w:type="dxa"/>
              <w:bottom w:w="85" w:type="dxa"/>
              <w:right w:w="85" w:type="dxa"/>
            </w:tcMar>
          </w:tcPr>
          <w:p>
            <w:pPr>
              <w:spacing w:after="60" w:line="269" w:lineRule="auto"/>
            </w:pPr>
            <w:r>
              <w:rPr>
                <w:b w:val="0"/>
                <w:sz w:val="21"/>
              </w:rPr>
              <w:t>看懂不等于会做</w:t>
            </w:r>
          </w:p>
        </w:tc>
        <w:tc>
          <w:tcPr>
            <w:tcW w:type="dxa" w:w="7056"/>
            <w:vAlign w:val="center"/>
            <w:tcMar>
              <w:top w:w="85" w:type="dxa"/>
              <w:left w:w="85" w:type="dxa"/>
              <w:bottom w:w="85" w:type="dxa"/>
              <w:right w:w="85" w:type="dxa"/>
            </w:tcMar>
          </w:tcPr>
          <w:p>
            <w:pPr>
              <w:spacing w:after="60" w:line="269" w:lineRule="auto"/>
            </w:pPr>
            <w:r>
              <w:rPr>
                <w:b w:val="0"/>
                <w:sz w:val="21"/>
              </w:rPr>
              <w:t>先题后反馈的诊断、错因变式与到期复习</w:t>
            </w:r>
          </w:p>
        </w:tc>
      </w:tr>
      <w:tr>
        <w:trPr>
          <w:cantSplit/>
        </w:trPr>
        <w:tc>
          <w:tcPr>
            <w:tcW w:type="dxa" w:w="2736"/>
            <w:vAlign w:val="center"/>
            <w:tcMar>
              <w:top w:w="85" w:type="dxa"/>
              <w:left w:w="85" w:type="dxa"/>
              <w:bottom w:w="85" w:type="dxa"/>
              <w:right w:w="85" w:type="dxa"/>
            </w:tcMar>
          </w:tcPr>
          <w:p>
            <w:pPr>
              <w:spacing w:after="60" w:line="269" w:lineRule="auto"/>
            </w:pPr>
            <w:r>
              <w:rPr>
                <w:b w:val="0"/>
                <w:sz w:val="21"/>
              </w:rPr>
              <w:t>多轮辅导容易断档</w:t>
            </w:r>
          </w:p>
        </w:tc>
        <w:tc>
          <w:tcPr>
            <w:tcW w:type="dxa" w:w="7056"/>
            <w:vAlign w:val="center"/>
            <w:tcMar>
              <w:top w:w="85" w:type="dxa"/>
              <w:left w:w="85" w:type="dxa"/>
              <w:bottom w:w="85" w:type="dxa"/>
              <w:right w:w="85" w:type="dxa"/>
            </w:tcMar>
          </w:tcPr>
          <w:p>
            <w:pPr>
              <w:spacing w:after="60" w:line="269" w:lineRule="auto"/>
            </w:pPr>
            <w:r>
              <w:rPr>
                <w:b w:val="0"/>
                <w:sz w:val="21"/>
              </w:rPr>
              <w:t>经授权保存的学习状态；人格选择仅限当前会话</w:t>
            </w:r>
          </w:p>
        </w:tc>
      </w:tr>
    </w:tbl>
    <w:p/>
    <w:p>
      <w:r>
        <w:t>作品希望带来的直接价值，是让学生少花时间在无依据的猜重点、反复整理和机械看题解上，把精力留给真正需要理解与练习的部分。“提分”是这一设计的目标，不是成绩或命中率保证；是否改善真实成绩，仍需后续学习成效研究。</w:t>
      </w:r>
    </w:p>
    <w:p>
      <w:r>
        <w:br w:type="page"/>
      </w:r>
    </w:p>
    <w:p>
      <w:pPr>
        <w:pStyle w:val="Heading1"/>
      </w:pPr>
      <w:r>
        <w:t>第二章 设计思路</w:t>
      </w:r>
    </w:p>
    <w:p>
      <w:pPr>
        <w:pStyle w:val="Heading2"/>
      </w:pPr>
      <w:r>
        <w:t>2.1 三层组织与按需读取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0"/>
      </w:tblGrid>
      <w:tr>
        <w:trPr>
          <w:cantSplit/>
          <w:tblHeader/>
        </w:trPr>
        <w:tc>
          <w:tcPr>
            <w:tcW w:type="dxa" w:w="2592"/>
            <w:vAlign w:val="center"/>
            <w:tcMar>
              <w:top w:w="85" w:type="dxa"/>
              <w:left w:w="85" w:type="dxa"/>
              <w:bottom w:w="85" w:type="dxa"/>
              <w:right w:w="85" w:type="dxa"/>
            </w:tcMar>
            <w:shd w:fill="F2F2F2"/>
          </w:tcPr>
          <w:p>
            <w:pPr>
              <w:spacing w:after="60" w:line="269" w:lineRule="auto"/>
            </w:pPr>
            <w:r>
              <w:rPr>
                <w:b/>
                <w:sz w:val="21"/>
              </w:rPr>
              <w:t>层次</w:t>
            </w:r>
          </w:p>
        </w:tc>
        <w:tc>
          <w:tcPr>
            <w:tcW w:type="dxa" w:w="7200"/>
            <w:vAlign w:val="center"/>
            <w:tcMar>
              <w:top w:w="85" w:type="dxa"/>
              <w:left w:w="85" w:type="dxa"/>
              <w:bottom w:w="85" w:type="dxa"/>
              <w:right w:w="85" w:type="dxa"/>
            </w:tcMar>
            <w:shd w:fill="F2F2F2"/>
          </w:tcPr>
          <w:p>
            <w:pPr>
              <w:spacing w:after="60" w:line="269" w:lineRule="auto"/>
            </w:pPr>
            <w:r>
              <w:rPr>
                <w:b/>
                <w:sz w:val="21"/>
              </w:rPr>
              <w:t>职责与文件</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任务与约束入口</w:t>
            </w:r>
          </w:p>
        </w:tc>
        <w:tc>
          <w:tcPr>
            <w:tcW w:type="dxa" w:w="7200"/>
            <w:vAlign w:val="center"/>
            <w:tcMar>
              <w:top w:w="85" w:type="dxa"/>
              <w:left w:w="85" w:type="dxa"/>
              <w:bottom w:w="85" w:type="dxa"/>
              <w:right w:w="85" w:type="dxa"/>
            </w:tcMar>
          </w:tcPr>
          <w:p>
            <w:pPr>
              <w:spacing w:after="60" w:line="269" w:lineRule="auto"/>
            </w:pPr>
            <w:r>
              <w:rPr>
                <w:b w:val="0"/>
                <w:sz w:val="21"/>
              </w:rPr>
              <w:t>SKILL.md：考试场景触发、交付标准、权限与模式边界</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教学与数据资料</w:t>
            </w:r>
          </w:p>
        </w:tc>
        <w:tc>
          <w:tcPr>
            <w:tcW w:type="dxa" w:w="7200"/>
            <w:vAlign w:val="center"/>
            <w:tcMar>
              <w:top w:w="85" w:type="dxa"/>
              <w:left w:w="85" w:type="dxa"/>
              <w:bottom w:w="85" w:type="dxa"/>
              <w:right w:w="85" w:type="dxa"/>
            </w:tcMar>
          </w:tcPr>
          <w:p>
            <w:pPr>
              <w:spacing w:after="60" w:line="269" w:lineRule="auto"/>
            </w:pPr>
            <w:r>
              <w:rPr>
                <w:b w:val="0"/>
                <w:sz w:val="21"/>
              </w:rPr>
              <w:t>exam-methods、planning-and-feedback、output-contracts：证据、时间、反馈及状态契约</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可选表达与报告</w:t>
            </w:r>
          </w:p>
        </w:tc>
        <w:tc>
          <w:tcPr>
            <w:tcW w:type="dxa" w:w="7200"/>
            <w:vAlign w:val="center"/>
            <w:tcMar>
              <w:top w:w="85" w:type="dxa"/>
              <w:left w:w="85" w:type="dxa"/>
              <w:bottom w:w="85" w:type="dxa"/>
              <w:right w:w="85" w:type="dxa"/>
            </w:tcMar>
          </w:tcPr>
          <w:p>
            <w:pPr>
              <w:spacing w:after="60" w:line="269" w:lineRule="auto"/>
            </w:pPr>
            <w:r>
              <w:rPr>
                <w:b w:val="0"/>
                <w:sz w:val="21"/>
              </w:rPr>
              <w:t>hermione-persona：会话人格参考；HTML 规范与本地脚本：可选离线学习报告</w:t>
            </w:r>
          </w:p>
        </w:tc>
      </w:tr>
    </w:tbl>
    <w:p/>
    <w:p>
      <w:r>
        <w:t>入口负责说明“何时使用、交付什么、不能越过哪些边界”，详细教学规范按需读取。这样，回答一道题时不必载入所有规划与报告资料，普通复习也不必预先加载人格。资料链接并不意味着自动执行；读取与保存是否成功，仍以宿主工具回执为准。SillyTavern 仅是开发时的实验工具，不是运行依赖。</w:t>
      </w:r>
    </w:p>
    <w:p>
      <w:pPr>
        <w:pStyle w:val="Heading2"/>
      </w:pPr>
      <w:r>
        <w:t>2.2 学习闭环</w:t>
      </w:r>
    </w:p>
    <w:p>
      <w:r>
        <w:t>学习流程沿着一条清晰的链条展开：材料与约束 → 考试地图 → 预算内任务 → 诊断或解释 → 真实作答反馈 → 错因与复习队列。它不是一次性的内容生成，而是让上一轮反馈成为下一轮安排的依据；已有记录可以继续使用，不必每次从头描述。</w:t>
      </w:r>
    </w:p>
    <w:p>
      <w:r>
        <w:t>证据等级分为 confirmed、high probability、supplementary、unknown 等；确认来源不代表保证命中考试。解释模式直接给完整解答，诊断/闭卷模式先隐藏答案，收到真实提交或用户明确切换模式后再按规则反馈。</w:t>
      </w:r>
    </w:p>
    <w:p>
      <w:pPr>
        <w:pStyle w:val="Heading2"/>
      </w:pPr>
      <w:r>
        <w:t>2.3 学习事实与交流选择分离</w:t>
      </w:r>
    </w:p>
    <w:p>
      <w:r>
        <w:t>study-state.json 存考试证据、掌握度、错题与复习队列；原值、ID 和来源须保留，更新仅影响获准记录。学习伙伴开关、语气偏好和关系假设不持久化，不另建 companion.state，也不写入宿主个人记忆。</w:t>
      </w:r>
    </w:p>
    <w:p>
      <w:r>
        <w:t>规则优先级为：安全和平台约束 ＞ 知识正确性与教学任务 ＞ 原 Skill 核心规则 ＞ 学习伙伴表达。人格可以影响讲法，不能增加强制问卷、改写评分或替用户作决定。</w:t>
      </w:r>
    </w:p>
    <w:p>
      <w:r>
        <w:br w:type="page"/>
      </w:r>
    </w:p>
    <w:p>
      <w:pPr>
        <w:pStyle w:val="Heading1"/>
      </w:pPr>
      <w:r>
        <w:t>第三章 功能模块</w:t>
      </w:r>
    </w:p>
    <w:p>
      <w:pPr>
        <w:pStyle w:val="Heading2"/>
      </w:pPr>
      <w:r>
        <w:t>3.1 范围与时间规划</w:t>
      </w:r>
    </w:p>
    <w:p>
      <w:r>
        <w:t>计划从现实约束开始，而不是从理想状态开始。首次确认考试时间、每日可投入分钟数与已有材料，再形成带来源的范围地图。每项任务写明做什么、用多久、依据哪里、怎样算完成；复测与必要缓冲计入预算。信息不足时只补问关键缺项，不用看似精确的倒计时或预测分数填补空白。</w:t>
      </w:r>
    </w:p>
    <w:p>
      <w:pPr>
        <w:pStyle w:val="Heading2"/>
      </w:pPr>
      <w:r>
        <w:t>3.2 解释、诊断与反馈</w:t>
      </w:r>
    </w:p>
    <w:p>
      <w:r>
        <w:t>“给我讲明白”和“先测测我”应得到不同的交付。解释模式给出可跟随的条件、步骤与得分点；诊断模式先留出独立作答空间，再依据真实提交反馈。答对但猜对不等于掌握，答错也不只是重复原题：系统结合已确认错因安排变式，把反馈落实到下一次练习。</w:t>
      </w:r>
    </w:p>
    <w:p>
      <w:pPr>
        <w:pStyle w:val="Heading2"/>
      </w:pPr>
      <w:r>
        <w:t>3.3 状态追踪与隔离</w:t>
      </w:r>
    </w:p>
    <w:p>
      <w:r>
        <w:t>学习状态采用工作区内 JSON 契约。掌握度使用 0–3 刻度，待修复时可为 0–0.5；与 HTML 展示的 0–1 数值不能混用。已有文件覆盖前按原契约保留最近备份，写后实际回读并核对未受影响记录。</w:t>
      </w:r>
    </w:p>
    <w:p>
      <w:r>
        <w:t>明确指定种子初始化时，必须真实读取并成功解析当前工作区种子；失败则停止初始化，不以空状态或旧实验档案替代。只读任务不建档、不备份、不写回。发现人格字段或跨工作区来源时保留原件并停止写入，不自动“清洗”失败证据。</w:t>
      </w:r>
    </w:p>
    <w:p>
      <w:pPr>
        <w:pStyle w:val="Heading2"/>
      </w:pPr>
      <w:r>
        <w:t>3.4 可选学习伙伴与严格输出</w:t>
      </w:r>
    </w:p>
    <w:p>
      <w:r>
        <w:t>明确选择才启用；模糊意愿必要时仅澄清一次，普通“一起复习”或“温柔一点”不自动启用。用户忽略或拒绝介绍后不反复推介，之后仍可主动开启；明确退出立即恢复普通讲法。新会话无法可靠恢复选择时默认关闭。</w:t>
      </w:r>
    </w:p>
    <w:p>
      <w:r>
        <w:t>普通学习交付如实说明状态是否已保存；严格 JSON/schema 不加状态尾注或额外字段。人格参考不可读时继续基础教学，不无限重试或安装依赖。HTML 报告可离线阅读、打印和自愿回传作答；无 Node.js 时保留 Markdown 回退。</w:t>
      </w:r>
    </w:p>
    <w:p>
      <w:r>
        <w:br w:type="page"/>
      </w:r>
    </w:p>
    <w:p>
      <w:pPr>
        <w:pStyle w:val="Heading1"/>
      </w:pPr>
      <w:r>
        <w:t>第四章 技术实现与设计特色</w:t>
      </w:r>
    </w:p>
    <w:p>
      <w:pPr>
        <w:pStyle w:val="Heading2"/>
      </w:pPr>
      <w:r>
        <w:t>4.1 可核查的实现</w:t>
      </w:r>
    </w:p>
    <w:p>
      <w:r>
        <w:t>运行包共 17 个文件：1 个入口、14 个参考/示例文件、2 个脚本文件。教学由模型依据约束自主执行，本地脚本只负责报告校验与渲染，不包含独立模型、数据库、人格服务或自动注册服务。核心流程依赖 TeleAgent 的模型、资料读取和授权文件工具。</w:t>
      </w:r>
    </w:p>
    <w:p>
      <w:r>
        <w:t>报告脚本采用 Node.js 内置 fs、path、url 等模块，对 JSON、数值、时区与时间预算进行校验；转义用户文本，限制工作区相对路径、拒绝穿越和链接越界，不默认覆盖。报告无 CDN、远程字体或隐式上传，核心内容在无脚本情况下仍可阅读。</w:t>
      </w:r>
    </w:p>
    <w:p>
      <w:pPr>
        <w:pStyle w:val="Heading2"/>
      </w:pPr>
      <w:r>
        <w:t>4.2 项目设计特色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0"/>
      </w:tblGrid>
      <w:tr>
        <w:trPr>
          <w:cantSplit/>
          <w:tblHeader/>
        </w:trPr>
        <w:tc>
          <w:tcPr>
            <w:tcW w:type="dxa" w:w="2592"/>
            <w:vAlign w:val="center"/>
            <w:tcMar>
              <w:top w:w="85" w:type="dxa"/>
              <w:left w:w="85" w:type="dxa"/>
              <w:bottom w:w="85" w:type="dxa"/>
              <w:right w:w="85" w:type="dxa"/>
            </w:tcMar>
            <w:shd w:fill="F2F2F2"/>
          </w:tcPr>
          <w:p>
            <w:pPr>
              <w:spacing w:after="60" w:line="269" w:lineRule="auto"/>
            </w:pPr>
            <w:r>
              <w:rPr>
                <w:b/>
                <w:sz w:val="21"/>
              </w:rPr>
              <w:t>特色</w:t>
            </w:r>
          </w:p>
        </w:tc>
        <w:tc>
          <w:tcPr>
            <w:tcW w:type="dxa" w:w="7200"/>
            <w:vAlign w:val="center"/>
            <w:tcMar>
              <w:top w:w="85" w:type="dxa"/>
              <w:left w:w="85" w:type="dxa"/>
              <w:bottom w:w="85" w:type="dxa"/>
              <w:right w:w="85" w:type="dxa"/>
            </w:tcMar>
            <w:shd w:fill="F2F2F2"/>
          </w:tcPr>
          <w:p>
            <w:pPr>
              <w:spacing w:after="60" w:line="269" w:lineRule="auto"/>
            </w:pPr>
            <w:r>
              <w:rPr>
                <w:b/>
                <w:sz w:val="21"/>
              </w:rPr>
              <w:t>可检查的依据</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依据与行动衔接</w:t>
            </w:r>
          </w:p>
        </w:tc>
        <w:tc>
          <w:tcPr>
            <w:tcW w:type="dxa" w:w="7200"/>
            <w:vAlign w:val="center"/>
            <w:tcMar>
              <w:top w:w="85" w:type="dxa"/>
              <w:left w:w="85" w:type="dxa"/>
              <w:bottom w:w="85" w:type="dxa"/>
              <w:right w:w="85" w:type="dxa"/>
            </w:tcMar>
          </w:tcPr>
          <w:p>
            <w:pPr>
              <w:spacing w:after="60" w:line="269" w:lineRule="auto"/>
            </w:pPr>
            <w:r>
              <w:rPr>
                <w:b w:val="0"/>
                <w:sz w:val="21"/>
              </w:rPr>
              <w:t>考试地图来源 → 优先任务 → 作答/错因 → 复习队列</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陪学与业务解耦</w:t>
            </w:r>
          </w:p>
        </w:tc>
        <w:tc>
          <w:tcPr>
            <w:tcW w:type="dxa" w:w="7200"/>
            <w:vAlign w:val="center"/>
            <w:tcMar>
              <w:top w:w="85" w:type="dxa"/>
              <w:left w:w="85" w:type="dxa"/>
              <w:bottom w:w="85" w:type="dxa"/>
              <w:right w:w="85" w:type="dxa"/>
            </w:tcMar>
          </w:tcPr>
          <w:p>
            <w:pPr>
              <w:spacing w:after="60" w:line="269" w:lineRule="auto"/>
            </w:pPr>
            <w:r>
              <w:rPr>
                <w:b w:val="0"/>
                <w:sz w:val="21"/>
              </w:rPr>
              <w:t>人格按需读取，可退出；OFF 时核心安全和格式边界同样有效</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双状态分离</w:t>
            </w:r>
          </w:p>
        </w:tc>
        <w:tc>
          <w:tcPr>
            <w:tcW w:type="dxa" w:w="7200"/>
            <w:vAlign w:val="center"/>
            <w:tcMar>
              <w:top w:w="85" w:type="dxa"/>
              <w:left w:w="85" w:type="dxa"/>
              <w:bottom w:w="85" w:type="dxa"/>
              <w:right w:w="85" w:type="dxa"/>
            </w:tcMar>
          </w:tcPr>
          <w:p>
            <w:pPr>
              <w:spacing w:after="60" w:line="269" w:lineRule="auto"/>
            </w:pPr>
            <w:r>
              <w:rPr>
                <w:b w:val="0"/>
                <w:sz w:val="21"/>
              </w:rPr>
              <w:t>学习事实可保存，会话人格不进入掌握度、档案或个人记忆</w:t>
            </w:r>
          </w:p>
        </w:tc>
      </w:tr>
      <w:tr>
        <w:trPr>
          <w:cantSplit/>
        </w:trPr>
        <w:tc>
          <w:tcPr>
            <w:tcW w:type="dxa" w:w="2592"/>
            <w:vAlign w:val="center"/>
            <w:tcMar>
              <w:top w:w="85" w:type="dxa"/>
              <w:left w:w="85" w:type="dxa"/>
              <w:bottom w:w="85" w:type="dxa"/>
              <w:right w:w="85" w:type="dxa"/>
            </w:tcMar>
          </w:tcPr>
          <w:p>
            <w:pPr>
              <w:spacing w:after="60" w:line="269" w:lineRule="auto"/>
            </w:pPr>
            <w:r>
              <w:rPr>
                <w:b w:val="0"/>
                <w:sz w:val="21"/>
              </w:rPr>
              <w:t>可移植与降级</w:t>
            </w:r>
          </w:p>
        </w:tc>
        <w:tc>
          <w:tcPr>
            <w:tcW w:type="dxa" w:w="7200"/>
            <w:vAlign w:val="center"/>
            <w:tcMar>
              <w:top w:w="85" w:type="dxa"/>
              <w:left w:w="85" w:type="dxa"/>
              <w:bottom w:w="85" w:type="dxa"/>
              <w:right w:w="85" w:type="dxa"/>
            </w:tcMar>
          </w:tcPr>
          <w:p>
            <w:pPr>
              <w:spacing w:after="60" w:line="269" w:lineRule="auto"/>
            </w:pPr>
            <w:r>
              <w:rPr>
                <w:b w:val="0"/>
                <w:sz w:val="21"/>
              </w:rPr>
              <w:t>纯文本约束与本地可选脚本；文件不可读或脚本不可用时保留基础交付</w:t>
            </w:r>
          </w:p>
        </w:tc>
      </w:tr>
    </w:tbl>
    <w:p/>
    <w:p>
      <w:r>
        <w:t>本作品的特色在于组合方式：把证据、任务、反馈和可控陪学放进同一学习流程，同时分清彼此权限。它不靠堆叠角色设定制造差异，也不把“更像同伴”直接等同于“教学更有效”。以上属于项目设计特色，并非已证明的行业首创或全面优越性。</w:t>
      </w:r>
    </w:p>
    <w:p>
      <w:pPr>
        <w:pStyle w:val="Heading2"/>
      </w:pPr>
      <w:r>
        <w:t>4.3 权限与成本的真实边界</w:t>
      </w:r>
    </w:p>
    <w:p>
      <w:r>
        <w:t>写入检查主要是模型应遵循的契约，不是操作系统级拦截器。宿主权限、工具回执和回读仍是判断执行成功的依据。核心模型请求由宿主产生，Skill 本身不能强制限制内部续推、隐藏调用或费用；本作品不承诺零成本运行。</w:t>
      </w:r>
    </w:p>
    <w:p>
      <w:r>
        <w:t>本次参赛副本只改变内部 name、中文展示名及两个描述标签，并追加来源/状态说明；教学正文、数据契约、人格核心、F1 示例和脚本未改。重命名后的正式 ID 尚未再次注册实测。</w:t>
      </w:r>
    </w:p>
    <w:p>
      <w:r>
        <w:br w:type="page"/>
      </w:r>
    </w:p>
    <w:p>
      <w:pPr>
        <w:pStyle w:val="Heading1"/>
      </w:pPr>
      <w:r>
        <w:t>第五章 使用说明</w:t>
      </w:r>
    </w:p>
    <w:p>
      <w:pPr>
        <w:pStyle w:val="Heading2"/>
      </w:pPr>
      <w:r>
        <w:t>5.1 环境与导入</w:t>
      </w:r>
    </w:p>
    <w:p>
      <w:r>
        <w:t>使用 TeleAgent Desktop 2.7.0 及可用的宿主模型连接。先解压提交包，在客户端技能管理入口按其当前支持的本地导入方式选择 Skill/exam-score-maximizer-companion；不要把含 Word、联系信息和检查资料的总提交包当作纯 Skill 根目录。导入后核对界面名称与内部 ID，不覆盖原 v7 或其他技能。</w:t>
      </w:r>
    </w:p>
    <w:p>
      <w:r>
        <w:t>既有阶段测试使用隔离实验 ID。正式副本的 name 变化不等于已完成同 ID 宿主注册核验；最后提交前应由负责人在隔离环境确认其识别结果。本轮不代替用户执行注册。离线 HTML 自动生成另需 Node.js 18+；无此环境仍可使用主要教学与 Markdown 交付。</w:t>
      </w:r>
    </w:p>
    <w:p>
      <w:pPr>
        <w:pStyle w:val="Heading2"/>
      </w:pPr>
      <w:r>
        <w:t>5.2 一次普通复习</w:t>
      </w:r>
    </w:p>
    <w:p>
      <w:r>
        <w:t>合成输入示例：“电路基础七天后考试，每天 45 分钟，只依据我提供的合成 lecture.md 安排复习。先给考试地图和今天三件事，不开启学习伙伴。”明确资料与预算后，可继续要求完整讲解、诊断、闪卡或模拟卷。未读到资料时，只能交付已核验部分，不猜测教师重点。</w:t>
      </w:r>
    </w:p>
    <w:p>
      <w:pPr>
        <w:pStyle w:val="Heading2"/>
      </w:pPr>
      <w:r>
        <w:t>5.3 开启、退出与诊断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472"/>
      </w:tblGrid>
      <w:tr>
        <w:trPr>
          <w:cantSplit/>
          <w:tblHeader/>
        </w:trPr>
        <w:tc>
          <w:tcPr>
            <w:tcW w:type="dxa" w:w="4320"/>
            <w:vAlign w:val="center"/>
            <w:tcMar>
              <w:top w:w="85" w:type="dxa"/>
              <w:left w:w="85" w:type="dxa"/>
              <w:bottom w:w="85" w:type="dxa"/>
              <w:right w:w="85" w:type="dxa"/>
            </w:tcMar>
            <w:shd w:fill="F2F2F2"/>
          </w:tcPr>
          <w:p>
            <w:pPr>
              <w:spacing w:after="60" w:line="269" w:lineRule="auto"/>
            </w:pPr>
            <w:r>
              <w:rPr>
                <w:b/>
                <w:sz w:val="21"/>
              </w:rPr>
              <w:t>用户输入示例</w:t>
            </w:r>
          </w:p>
        </w:tc>
        <w:tc>
          <w:tcPr>
            <w:tcW w:type="dxa" w:w="5472"/>
            <w:vAlign w:val="center"/>
            <w:tcMar>
              <w:top w:w="85" w:type="dxa"/>
              <w:left w:w="85" w:type="dxa"/>
              <w:bottom w:w="85" w:type="dxa"/>
              <w:right w:w="85" w:type="dxa"/>
            </w:tcMar>
            <w:shd w:fill="F2F2F2"/>
          </w:tcPr>
          <w:p>
            <w:pPr>
              <w:spacing w:after="60" w:line="269" w:lineRule="auto"/>
            </w:pPr>
            <w:r>
              <w:rPr>
                <w:b/>
                <w:sz w:val="21"/>
              </w:rPr>
              <w:t>应有行为</w:t>
            </w:r>
          </w:p>
        </w:tc>
      </w:tr>
      <w:tr>
        <w:trPr>
          <w:cantSplit/>
        </w:trPr>
        <w:tc>
          <w:tcPr>
            <w:tcW w:type="dxa" w:w="4320"/>
            <w:vAlign w:val="center"/>
            <w:tcMar>
              <w:top w:w="85" w:type="dxa"/>
              <w:left w:w="85" w:type="dxa"/>
              <w:bottom w:w="85" w:type="dxa"/>
              <w:right w:w="85" w:type="dxa"/>
            </w:tcMar>
          </w:tcPr>
          <w:p>
            <w:pPr>
              <w:spacing w:after="60" w:line="269" w:lineRule="auto"/>
            </w:pPr>
            <w:r>
              <w:rPr>
                <w:b w:val="0"/>
                <w:sz w:val="21"/>
              </w:rPr>
              <w:t>“开启学习伙伴，陪我按计划复习。”</w:t>
            </w:r>
          </w:p>
        </w:tc>
        <w:tc>
          <w:tcPr>
            <w:tcW w:type="dxa" w:w="5472"/>
            <w:vAlign w:val="center"/>
            <w:tcMar>
              <w:top w:w="85" w:type="dxa"/>
              <w:left w:w="85" w:type="dxa"/>
              <w:bottom w:w="85" w:type="dxa"/>
              <w:right w:w="85" w:type="dxa"/>
            </w:tcMar>
          </w:tcPr>
          <w:p>
            <w:pPr>
              <w:spacing w:after="60" w:line="269" w:lineRule="auto"/>
            </w:pPr>
            <w:r>
              <w:rPr>
                <w:b w:val="0"/>
                <w:sz w:val="21"/>
              </w:rPr>
              <w:t>读取可选人格后启用，不再反复确认</w:t>
            </w:r>
          </w:p>
        </w:tc>
      </w:tr>
      <w:tr>
        <w:trPr>
          <w:cantSplit/>
        </w:trPr>
        <w:tc>
          <w:tcPr>
            <w:tcW w:type="dxa" w:w="4320"/>
            <w:vAlign w:val="center"/>
            <w:tcMar>
              <w:top w:w="85" w:type="dxa"/>
              <w:left w:w="85" w:type="dxa"/>
              <w:bottom w:w="85" w:type="dxa"/>
              <w:right w:w="85" w:type="dxa"/>
            </w:tcMar>
          </w:tcPr>
          <w:p>
            <w:pPr>
              <w:spacing w:after="60" w:line="269" w:lineRule="auto"/>
            </w:pPr>
            <w:r>
              <w:rPr>
                <w:b w:val="0"/>
                <w:sz w:val="21"/>
              </w:rPr>
              <w:t>“我希望有人陪着学，但不确定是哪种方式。”</w:t>
            </w:r>
          </w:p>
        </w:tc>
        <w:tc>
          <w:tcPr>
            <w:tcW w:type="dxa" w:w="5472"/>
            <w:vAlign w:val="center"/>
            <w:tcMar>
              <w:top w:w="85" w:type="dxa"/>
              <w:left w:w="85" w:type="dxa"/>
              <w:bottom w:w="85" w:type="dxa"/>
              <w:right w:w="85" w:type="dxa"/>
            </w:tcMar>
          </w:tcPr>
          <w:p>
            <w:pPr>
              <w:spacing w:after="60" w:line="269" w:lineRule="auto"/>
            </w:pPr>
            <w:r>
              <w:rPr>
                <w:b w:val="0"/>
                <w:sz w:val="21"/>
              </w:rPr>
              <w:t>必要时简短澄清一次，未同意保持普通模式</w:t>
            </w:r>
          </w:p>
        </w:tc>
      </w:tr>
      <w:tr>
        <w:trPr>
          <w:cantSplit/>
        </w:trPr>
        <w:tc>
          <w:tcPr>
            <w:tcW w:type="dxa" w:w="4320"/>
            <w:vAlign w:val="center"/>
            <w:tcMar>
              <w:top w:w="85" w:type="dxa"/>
              <w:left w:w="85" w:type="dxa"/>
              <w:bottom w:w="85" w:type="dxa"/>
              <w:right w:w="85" w:type="dxa"/>
            </w:tcMar>
          </w:tcPr>
          <w:p>
            <w:pPr>
              <w:spacing w:after="60" w:line="269" w:lineRule="auto"/>
            </w:pPr>
            <w:r>
              <w:rPr>
                <w:b w:val="0"/>
                <w:sz w:val="21"/>
              </w:rPr>
              <w:t>“诊断模式出两题，先不要给答案。”</w:t>
            </w:r>
          </w:p>
        </w:tc>
        <w:tc>
          <w:tcPr>
            <w:tcW w:type="dxa" w:w="5472"/>
            <w:vAlign w:val="center"/>
            <w:tcMar>
              <w:top w:w="85" w:type="dxa"/>
              <w:left w:w="85" w:type="dxa"/>
              <w:bottom w:w="85" w:type="dxa"/>
              <w:right w:w="85" w:type="dxa"/>
            </w:tcMar>
          </w:tcPr>
          <w:p>
            <w:pPr>
              <w:spacing w:after="60" w:line="269" w:lineRule="auto"/>
            </w:pPr>
            <w:r>
              <w:rPr>
                <w:b w:val="0"/>
                <w:sz w:val="21"/>
              </w:rPr>
              <w:t>先题后反馈；讲解示例不是学生提交证据</w:t>
            </w:r>
          </w:p>
        </w:tc>
      </w:tr>
      <w:tr>
        <w:trPr>
          <w:cantSplit/>
        </w:trPr>
        <w:tc>
          <w:tcPr>
            <w:tcW w:type="dxa" w:w="4320"/>
            <w:vAlign w:val="center"/>
            <w:tcMar>
              <w:top w:w="85" w:type="dxa"/>
              <w:left w:w="85" w:type="dxa"/>
              <w:bottom w:w="85" w:type="dxa"/>
              <w:right w:w="85" w:type="dxa"/>
            </w:tcMar>
          </w:tcPr>
          <w:p>
            <w:pPr>
              <w:spacing w:after="60" w:line="269" w:lineRule="auto"/>
            </w:pPr>
            <w:r>
              <w:rPr>
                <w:b w:val="0"/>
                <w:sz w:val="21"/>
              </w:rPr>
              <w:t>“这是我的答案……请纠错。”</w:t>
            </w:r>
          </w:p>
        </w:tc>
        <w:tc>
          <w:tcPr>
            <w:tcW w:type="dxa" w:w="5472"/>
            <w:vAlign w:val="center"/>
            <w:tcMar>
              <w:top w:w="85" w:type="dxa"/>
              <w:left w:w="85" w:type="dxa"/>
              <w:bottom w:w="85" w:type="dxa"/>
              <w:right w:w="85" w:type="dxa"/>
            </w:tcMar>
          </w:tcPr>
          <w:p>
            <w:pPr>
              <w:spacing w:after="60" w:line="269" w:lineRule="auto"/>
            </w:pPr>
            <w:r>
              <w:rPr>
                <w:b w:val="0"/>
                <w:sz w:val="21"/>
              </w:rPr>
              <w:t>核验结果与方法，反馈真实问题，不虚报掌握</w:t>
            </w:r>
          </w:p>
        </w:tc>
      </w:tr>
      <w:tr>
        <w:trPr>
          <w:cantSplit/>
        </w:trPr>
        <w:tc>
          <w:tcPr>
            <w:tcW w:type="dxa" w:w="4320"/>
            <w:vAlign w:val="center"/>
            <w:tcMar>
              <w:top w:w="85" w:type="dxa"/>
              <w:left w:w="85" w:type="dxa"/>
              <w:bottom w:w="85" w:type="dxa"/>
              <w:right w:w="85" w:type="dxa"/>
            </w:tcMar>
          </w:tcPr>
          <w:p>
            <w:pPr>
              <w:spacing w:after="60" w:line="269" w:lineRule="auto"/>
            </w:pPr>
            <w:r>
              <w:rPr>
                <w:b w:val="0"/>
                <w:sz w:val="21"/>
              </w:rPr>
              <w:t>“关闭学习伙伴，继续普通讲解。”</w:t>
            </w:r>
          </w:p>
        </w:tc>
        <w:tc>
          <w:tcPr>
            <w:tcW w:type="dxa" w:w="5472"/>
            <w:vAlign w:val="center"/>
            <w:tcMar>
              <w:top w:w="85" w:type="dxa"/>
              <w:left w:w="85" w:type="dxa"/>
              <w:bottom w:w="85" w:type="dxa"/>
              <w:right w:w="85" w:type="dxa"/>
            </w:tcMar>
          </w:tcPr>
          <w:p>
            <w:pPr>
              <w:spacing w:after="60" w:line="269" w:lineRule="auto"/>
            </w:pPr>
            <w:r>
              <w:rPr>
                <w:b w:val="0"/>
                <w:sz w:val="21"/>
              </w:rPr>
              <w:t>当前回复起退出，保留学习事实，不自行复燃</w:t>
            </w:r>
          </w:p>
        </w:tc>
      </w:tr>
    </w:tbl>
    <w:p/>
    <w:p>
      <w:pPr>
        <w:pStyle w:val="Heading2"/>
      </w:pPr>
      <w:r>
        <w:t>5.4 状态、报告与异常</w:t>
      </w:r>
    </w:p>
    <w:p>
      <w:r>
        <w:t>仅在明确授权工作区后保存状态；更新前备份已有文件，写后真实回读。初始化合成种子时，应把 lecture.md、seed-state.json 放入当前 workspace/inputs/，明确这两份是唯一输入，不附带旧状态。种子缺失应停止写入；普通首次使用若未指定种子，则按原流程建档。</w:t>
      </w:r>
    </w:p>
    <w:p>
      <w:r>
        <w:t>需要严格 JSON 时，明确字段与 schema，不在格式外附加人格或状态说明。需要离线报告时只请求本地 HTML/Markdown，分享前脱敏；网页复制/导出成功不是掌握度证据。遇到文件不可读、无写入权限或模型不确定，应保留已验证部分并报告缺项，不把“已读取/已保存”的自述当工具成功。</w:t>
      </w:r>
    </w:p>
    <w:p>
      <w:r>
        <w:br w:type="page"/>
      </w:r>
    </w:p>
    <w:p>
      <w:pPr>
        <w:pStyle w:val="Heading1"/>
      </w:pPr>
      <w:r>
        <w:t>第六章 测试与效果</w:t>
      </w:r>
    </w:p>
    <w:p>
      <w:pPr>
        <w:pStyle w:val="Heading2"/>
      </w:pPr>
      <w:r>
        <w:t>6.1 结果来源与口径</w:t>
      </w:r>
    </w:p>
    <w:p>
      <w:r>
        <w:t>本作品已完成基于 TeleAgent 平台的阶段性功能验证。以下结果由项目负责人在 2026 年 10 月 17 日补充确认，用于功能验证和设计有效性的阶段性说明。本轮编制没有新增模型调用，也未逐条重建全部原始请求和工具回执；交付核验与历史行为测试分别记录。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cantSplit/>
          <w:tblHeader/>
        </w:trPr>
        <w:tc>
          <w:tcPr>
            <w:tcW w:type="dxa" w:w="2376"/>
            <w:vAlign w:val="center"/>
            <w:tcMar>
              <w:top w:w="85" w:type="dxa"/>
              <w:left w:w="85" w:type="dxa"/>
              <w:bottom w:w="85" w:type="dxa"/>
              <w:right w:w="85" w:type="dxa"/>
            </w:tcMar>
            <w:shd w:fill="F2F2F2"/>
          </w:tcPr>
          <w:p>
            <w:pPr>
              <w:spacing w:after="60" w:line="269" w:lineRule="auto"/>
            </w:pPr>
            <w:r>
              <w:rPr>
                <w:b/>
                <w:sz w:val="21"/>
              </w:rPr>
              <w:t>阶段</w:t>
            </w:r>
          </w:p>
        </w:tc>
        <w:tc>
          <w:tcPr>
            <w:tcW w:type="dxa" w:w="7416"/>
            <w:vAlign w:val="center"/>
            <w:tcMar>
              <w:top w:w="85" w:type="dxa"/>
              <w:left w:w="85" w:type="dxa"/>
              <w:bottom w:w="85" w:type="dxa"/>
              <w:right w:w="85" w:type="dxa"/>
            </w:tcMar>
            <w:shd w:fill="F2F2F2"/>
          </w:tcPr>
          <w:p>
            <w:pPr>
              <w:spacing w:after="60" w:line="269" w:lineRule="auto"/>
            </w:pPr>
            <w:r>
              <w:rPr>
                <w:b/>
                <w:sz w:val="21"/>
              </w:rPr>
              <w:t>已确认结果与覆盖范围</w:t>
            </w:r>
          </w:p>
        </w:tc>
      </w:tr>
      <w:tr>
        <w:trPr>
          <w:cantSplit/>
        </w:trPr>
        <w:tc>
          <w:tcPr>
            <w:tcW w:type="dxa" w:w="2376"/>
            <w:vAlign w:val="center"/>
            <w:tcMar>
              <w:top w:w="85" w:type="dxa"/>
              <w:left w:w="85" w:type="dxa"/>
              <w:bottom w:w="85" w:type="dxa"/>
              <w:right w:w="85" w:type="dxa"/>
            </w:tcMar>
          </w:tcPr>
          <w:p>
            <w:pPr>
              <w:spacing w:after="60" w:line="269" w:lineRule="auto"/>
            </w:pPr>
            <w:r>
              <w:rPr>
                <w:b w:val="0"/>
                <w:sz w:val="21"/>
              </w:rPr>
              <w:t>Stage6 状态初始化</w:t>
            </w:r>
          </w:p>
        </w:tc>
        <w:tc>
          <w:tcPr>
            <w:tcW w:type="dxa" w:w="7416"/>
            <w:vAlign w:val="center"/>
            <w:tcMar>
              <w:top w:w="85" w:type="dxa"/>
              <w:left w:w="85" w:type="dxa"/>
              <w:bottom w:w="85" w:type="dxa"/>
              <w:right w:w="85" w:type="dxa"/>
            </w:tcMar>
          </w:tcPr>
          <w:p>
            <w:pPr>
              <w:spacing w:after="60" w:line="269" w:lineRule="auto"/>
            </w:pPr>
            <w:r>
              <w:rPr>
                <w:b w:val="0"/>
                <w:sz w:val="21"/>
              </w:rPr>
              <w:t>4/4 通过：合成种子数据继承、历史状态隔离、人格字段禁止持久化、真实文件写入与回读</w:t>
            </w:r>
          </w:p>
        </w:tc>
      </w:tr>
      <w:tr>
        <w:trPr>
          <w:cantSplit/>
        </w:trPr>
        <w:tc>
          <w:tcPr>
            <w:tcW w:type="dxa" w:w="2376"/>
            <w:vAlign w:val="center"/>
            <w:tcMar>
              <w:top w:w="85" w:type="dxa"/>
              <w:left w:w="85" w:type="dxa"/>
              <w:bottom w:w="85" w:type="dxa"/>
              <w:right w:w="85" w:type="dxa"/>
            </w:tcMar>
          </w:tcPr>
          <w:p>
            <w:pPr>
              <w:spacing w:after="60" w:line="269" w:lineRule="auto"/>
            </w:pPr>
            <w:r>
              <w:rPr>
                <w:b w:val="0"/>
                <w:sz w:val="21"/>
              </w:rPr>
              <w:t>Stage6 综合功能</w:t>
            </w:r>
          </w:p>
        </w:tc>
        <w:tc>
          <w:tcPr>
            <w:tcW w:type="dxa" w:w="7416"/>
            <w:vAlign w:val="center"/>
            <w:tcMar>
              <w:top w:w="85" w:type="dxa"/>
              <w:left w:w="85" w:type="dxa"/>
              <w:bottom w:w="85" w:type="dxa"/>
              <w:right w:w="85" w:type="dxa"/>
            </w:tcMar>
          </w:tcPr>
          <w:p>
            <w:pPr>
              <w:spacing w:after="60" w:line="269" w:lineRule="auto"/>
            </w:pPr>
            <w:r>
              <w:rPr>
                <w:b w:val="0"/>
                <w:sz w:val="21"/>
              </w:rPr>
              <w:t>5/5 通过：默认关闭、模糊意图澄清、明确开启、诊断纠错、严格 JSON 与即时退出；场景可共享同一回复断言，不将六类覆盖误计为六次独立测试</w:t>
            </w:r>
          </w:p>
        </w:tc>
      </w:tr>
      <w:tr>
        <w:trPr>
          <w:cantSplit/>
        </w:trPr>
        <w:tc>
          <w:tcPr>
            <w:tcW w:type="dxa" w:w="2376"/>
            <w:vAlign w:val="center"/>
            <w:tcMar>
              <w:top w:w="85" w:type="dxa"/>
              <w:left w:w="85" w:type="dxa"/>
              <w:bottom w:w="85" w:type="dxa"/>
              <w:right w:w="85" w:type="dxa"/>
            </w:tcMar>
          </w:tcPr>
          <w:p>
            <w:pPr>
              <w:spacing w:after="60" w:line="269" w:lineRule="auto"/>
            </w:pPr>
            <w:r>
              <w:rPr>
                <w:b w:val="0"/>
                <w:sz w:val="21"/>
              </w:rPr>
              <w:t>Stage7 三分支对照</w:t>
            </w:r>
          </w:p>
        </w:tc>
        <w:tc>
          <w:tcPr>
            <w:tcW w:type="dxa" w:w="7416"/>
            <w:vAlign w:val="center"/>
            <w:tcMar>
              <w:top w:w="85" w:type="dxa"/>
              <w:left w:w="85" w:type="dxa"/>
              <w:bottom w:w="85" w:type="dxa"/>
              <w:right w:w="85" w:type="dxa"/>
            </w:tcMar>
          </w:tcPr>
          <w:p>
            <w:pPr>
              <w:spacing w:after="60" w:line="269" w:lineRule="auto"/>
            </w:pPr>
            <w:r>
              <w:rPr>
                <w:b w:val="0"/>
                <w:sz w:val="21"/>
              </w:rPr>
              <w:t>正式 v7、学习伙伴 OFF、学习伙伴 ON 在所测四项教学内容中均得到正确结果；ON 呈现协作式反馈，所测教学正确性和格式未见负面影响</w:t>
            </w:r>
          </w:p>
        </w:tc>
      </w:tr>
    </w:tbl>
    <w:p/>
    <w:p>
      <w:pPr>
        <w:pStyle w:val="Heading2"/>
      </w:pPr>
      <w:r>
        <w:t>6.2 测试局限</w:t>
      </w:r>
    </w:p>
    <w:p>
      <w:r>
        <w:t>Stage7 在同一会话内切换分支，不构成跨会话隔离验证，存在上下文携带的混杂因素。首次介绍、完整增量状态更新及实际学习成绩改善效果尚未充分验证。四项教学内容的正确结果也不能推广为普遍知识正确率或人格长期稳定性证明。</w:t>
      </w:r>
    </w:p>
    <w:p>
      <w:r>
        <w:t>早期状态实验曾发生种子未继承、旧实验数据混入及 companion.state 违规持久化，失败原件保留，不改判为通过。负责人确认后续 State Boundary V2 初始化测试通过；这不消除早期失败记录，也不等于所有增量写入均已验证。</w:t>
      </w:r>
    </w:p>
    <w:p>
      <w:pPr>
        <w:pStyle w:val="Heading2"/>
      </w:pPr>
      <w:r>
        <w:t>6.3 教学质量与本轮离线检查</w:t>
      </w:r>
    </w:p>
    <w:p>
      <w:r>
        <w:t>历史试用出现“求秩只做行变换”的概念错误：行变换和列变换均保持矩阵秩。该回答不能计为完全正确样本；现有证据不足以归咎于 Skill 或人格。后续应同时核对结果与方法，本轮不在通用 Skill 中增加单学科补丁。</w:t>
      </w:r>
    </w:p>
    <w:p>
      <w:r>
        <w:t>本轮只核对目录、引用、JSON/JS 语法、来源保留、个人信息分布、Word 版式、压缩包结构和 SHA256；检查结果见 Checks。教学效果、模型费用和宿主隐式调用不属于本次离线检查可证明的事项。</w:t>
      </w:r>
    </w:p>
    <w:p>
      <w:r>
        <w:br w:type="page"/>
      </w:r>
    </w:p>
    <w:p>
      <w:pPr>
        <w:pStyle w:val="Heading1"/>
      </w:pPr>
      <w:r>
        <w:t>第七章 应用前景与扩展方向</w:t>
      </w:r>
    </w:p>
    <w:p>
      <w:pPr>
        <w:pStyle w:val="Heading2"/>
      </w:pPr>
      <w:r>
        <w:t>7.1 可复用的应用方式</w:t>
      </w:r>
    </w:p>
    <w:p>
      <w:r>
        <w:t>作品的可复用性来自稳定的学习问题，而不是绑定某一道题：课程不同，学生依然需要确认范围、分配时间、解释卡点与检验掌握。用合法授权的课程资料替换合成示例后，可以复用这些工作流；是否适合某门课程，仍需结合实际材料与教学要求检验。</w:t>
      </w:r>
    </w:p>
    <w:p>
      <w:r>
        <w:t>对于教师和助教，可在合规授权下辅助组织练习、解释得分步骤与生成离线学习材料；正式评分、考试范围和学生评价仍由适当的人类责任主体决定。本项目不自动访问教务系统，不代交正式测验。</w:t>
      </w:r>
    </w:p>
    <w:p>
      <w:pPr>
        <w:pStyle w:val="Heading2"/>
      </w:pPr>
      <w:r>
        <w:t>7.2 尚未开发或充分验证的方向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04"/>
      </w:tblGrid>
      <w:tr>
        <w:trPr>
          <w:cantSplit/>
          <w:tblHeader/>
        </w:trPr>
        <w:tc>
          <w:tcPr>
            <w:tcW w:type="dxa" w:w="3888"/>
            <w:vAlign w:val="center"/>
            <w:tcMar>
              <w:top w:w="85" w:type="dxa"/>
              <w:left w:w="85" w:type="dxa"/>
              <w:bottom w:w="85" w:type="dxa"/>
              <w:right w:w="85" w:type="dxa"/>
            </w:tcMar>
            <w:shd w:fill="F2F2F2"/>
          </w:tcPr>
          <w:p>
            <w:pPr>
              <w:spacing w:after="60" w:line="269" w:lineRule="auto"/>
            </w:pPr>
            <w:r>
              <w:rPr>
                <w:b/>
                <w:sz w:val="21"/>
              </w:rPr>
              <w:t>方向</w:t>
            </w:r>
          </w:p>
        </w:tc>
        <w:tc>
          <w:tcPr>
            <w:tcW w:type="dxa" w:w="5904"/>
            <w:vAlign w:val="center"/>
            <w:tcMar>
              <w:top w:w="85" w:type="dxa"/>
              <w:left w:w="85" w:type="dxa"/>
              <w:bottom w:w="85" w:type="dxa"/>
              <w:right w:w="85" w:type="dxa"/>
            </w:tcMar>
            <w:shd w:fill="F2F2F2"/>
          </w:tcPr>
          <w:p>
            <w:pPr>
              <w:spacing w:after="60" w:line="269" w:lineRule="auto"/>
            </w:pPr>
            <w:r>
              <w:rPr>
                <w:b/>
                <w:sz w:val="21"/>
              </w:rPr>
              <w:t>当前状态</w:t>
            </w:r>
          </w:p>
        </w:tc>
      </w:tr>
      <w:tr>
        <w:trPr>
          <w:cantSplit/>
        </w:trPr>
        <w:tc>
          <w:tcPr>
            <w:tcW w:type="dxa" w:w="3888"/>
            <w:vAlign w:val="center"/>
            <w:tcMar>
              <w:top w:w="85" w:type="dxa"/>
              <w:left w:w="85" w:type="dxa"/>
              <w:bottom w:w="85" w:type="dxa"/>
              <w:right w:w="85" w:type="dxa"/>
            </w:tcMar>
          </w:tcPr>
          <w:p>
            <w:pPr>
              <w:spacing w:after="60" w:line="269" w:lineRule="auto"/>
            </w:pPr>
            <w:r>
              <w:rPr>
                <w:b w:val="0"/>
                <w:sz w:val="21"/>
              </w:rPr>
              <w:t>跨会话隔离对照与长期稳定性</w:t>
            </w:r>
          </w:p>
        </w:tc>
        <w:tc>
          <w:tcPr>
            <w:tcW w:type="dxa" w:w="5904"/>
            <w:vAlign w:val="center"/>
            <w:tcMar>
              <w:top w:w="85" w:type="dxa"/>
              <w:left w:w="85" w:type="dxa"/>
              <w:bottom w:w="85" w:type="dxa"/>
              <w:right w:w="85" w:type="dxa"/>
            </w:tcMar>
          </w:tcPr>
          <w:p>
            <w:pPr>
              <w:spacing w:after="60" w:line="269" w:lineRule="auto"/>
            </w:pPr>
            <w:r>
              <w:rPr>
                <w:b w:val="0"/>
                <w:sz w:val="21"/>
              </w:rPr>
              <w:t>未来验证方向；本次 Stage7 不提供该证据</w:t>
            </w:r>
          </w:p>
        </w:tc>
      </w:tr>
      <w:tr>
        <w:trPr>
          <w:cantSplit/>
        </w:trPr>
        <w:tc>
          <w:tcPr>
            <w:tcW w:type="dxa" w:w="3888"/>
            <w:vAlign w:val="center"/>
            <w:tcMar>
              <w:top w:w="85" w:type="dxa"/>
              <w:left w:w="85" w:type="dxa"/>
              <w:bottom w:w="85" w:type="dxa"/>
              <w:right w:w="85" w:type="dxa"/>
            </w:tcMar>
          </w:tcPr>
          <w:p>
            <w:pPr>
              <w:spacing w:after="60" w:line="269" w:lineRule="auto"/>
            </w:pPr>
            <w:r>
              <w:rPr>
                <w:b w:val="0"/>
                <w:sz w:val="21"/>
              </w:rPr>
              <w:t>完整增量写回与恢复覆盖</w:t>
            </w:r>
          </w:p>
        </w:tc>
        <w:tc>
          <w:tcPr>
            <w:tcW w:type="dxa" w:w="5904"/>
            <w:vAlign w:val="center"/>
            <w:tcMar>
              <w:top w:w="85" w:type="dxa"/>
              <w:left w:w="85" w:type="dxa"/>
              <w:bottom w:w="85" w:type="dxa"/>
              <w:right w:w="85" w:type="dxa"/>
            </w:tcMar>
          </w:tcPr>
          <w:p>
            <w:pPr>
              <w:spacing w:after="60" w:line="269" w:lineRule="auto"/>
            </w:pPr>
            <w:r>
              <w:rPr>
                <w:b w:val="0"/>
                <w:sz w:val="21"/>
              </w:rPr>
              <w:t>需更多受控数据验证；不能仅以初始化通过替代</w:t>
            </w:r>
          </w:p>
        </w:tc>
      </w:tr>
      <w:tr>
        <w:trPr>
          <w:cantSplit/>
        </w:trPr>
        <w:tc>
          <w:tcPr>
            <w:tcW w:type="dxa" w:w="3888"/>
            <w:vAlign w:val="center"/>
            <w:tcMar>
              <w:top w:w="85" w:type="dxa"/>
              <w:left w:w="85" w:type="dxa"/>
              <w:bottom w:w="85" w:type="dxa"/>
              <w:right w:w="85" w:type="dxa"/>
            </w:tcMar>
          </w:tcPr>
          <w:p>
            <w:pPr>
              <w:spacing w:after="60" w:line="269" w:lineRule="auto"/>
            </w:pPr>
            <w:r>
              <w:rPr>
                <w:b w:val="0"/>
                <w:sz w:val="21"/>
              </w:rPr>
              <w:t>不同课程的持续迁移评估</w:t>
            </w:r>
          </w:p>
        </w:tc>
        <w:tc>
          <w:tcPr>
            <w:tcW w:type="dxa" w:w="5904"/>
            <w:vAlign w:val="center"/>
            <w:tcMar>
              <w:top w:w="85" w:type="dxa"/>
              <w:left w:w="85" w:type="dxa"/>
              <w:bottom w:w="85" w:type="dxa"/>
              <w:right w:w="85" w:type="dxa"/>
            </w:tcMar>
          </w:tcPr>
          <w:p>
            <w:pPr>
              <w:spacing w:after="60" w:line="269" w:lineRule="auto"/>
            </w:pPr>
            <w:r>
              <w:rPr>
                <w:b w:val="0"/>
                <w:sz w:val="21"/>
              </w:rPr>
              <w:t>具备接口复用设计，尚无大样本泛化结论</w:t>
            </w:r>
          </w:p>
        </w:tc>
      </w:tr>
      <w:tr>
        <w:trPr>
          <w:cantSplit/>
        </w:trPr>
        <w:tc>
          <w:tcPr>
            <w:tcW w:type="dxa" w:w="3888"/>
            <w:vAlign w:val="center"/>
            <w:tcMar>
              <w:top w:w="85" w:type="dxa"/>
              <w:left w:w="85" w:type="dxa"/>
              <w:bottom w:w="85" w:type="dxa"/>
              <w:right w:w="85" w:type="dxa"/>
            </w:tcMar>
          </w:tcPr>
          <w:p>
            <w:pPr>
              <w:spacing w:after="60" w:line="269" w:lineRule="auto"/>
            </w:pPr>
            <w:r>
              <w:rPr>
                <w:b w:val="0"/>
                <w:sz w:val="21"/>
              </w:rPr>
              <w:t>真实学习成效与成本评估</w:t>
            </w:r>
          </w:p>
        </w:tc>
        <w:tc>
          <w:tcPr>
            <w:tcW w:type="dxa" w:w="5904"/>
            <w:vAlign w:val="center"/>
            <w:tcMar>
              <w:top w:w="85" w:type="dxa"/>
              <w:left w:w="85" w:type="dxa"/>
              <w:bottom w:w="85" w:type="dxa"/>
              <w:right w:w="85" w:type="dxa"/>
            </w:tcMar>
          </w:tcPr>
          <w:p>
            <w:pPr>
              <w:spacing w:after="60" w:line="269" w:lineRule="auto"/>
            </w:pPr>
            <w:r>
              <w:rPr>
                <w:b w:val="0"/>
                <w:sz w:val="21"/>
              </w:rPr>
              <w:t>未来需合规设计基线、测量与费用记录</w:t>
            </w:r>
          </w:p>
        </w:tc>
      </w:tr>
      <w:tr>
        <w:trPr>
          <w:cantSplit/>
        </w:trPr>
        <w:tc>
          <w:tcPr>
            <w:tcW w:type="dxa" w:w="3888"/>
            <w:vAlign w:val="center"/>
            <w:tcMar>
              <w:top w:w="85" w:type="dxa"/>
              <w:left w:w="85" w:type="dxa"/>
              <w:bottom w:w="85" w:type="dxa"/>
              <w:right w:w="85" w:type="dxa"/>
            </w:tcMar>
          </w:tcPr>
          <w:p>
            <w:pPr>
              <w:spacing w:after="60" w:line="269" w:lineRule="auto"/>
            </w:pPr>
            <w:r>
              <w:rPr>
                <w:b w:val="0"/>
                <w:sz w:val="21"/>
              </w:rPr>
              <w:t>关系记忆或永久偏好</w:t>
            </w:r>
          </w:p>
        </w:tc>
        <w:tc>
          <w:tcPr>
            <w:tcW w:type="dxa" w:w="5904"/>
            <w:vAlign w:val="center"/>
            <w:tcMar>
              <w:top w:w="85" w:type="dxa"/>
              <w:left w:w="85" w:type="dxa"/>
              <w:bottom w:w="85" w:type="dxa"/>
              <w:right w:w="85" w:type="dxa"/>
            </w:tcMar>
          </w:tcPr>
          <w:p>
            <w:pPr>
              <w:spacing w:after="60" w:line="269" w:lineRule="auto"/>
            </w:pPr>
            <w:r>
              <w:rPr>
                <w:b w:val="0"/>
                <w:sz w:val="21"/>
              </w:rPr>
              <w:t>当前不实现；如需要，必须单独授权并设计隐私边界</w:t>
            </w:r>
          </w:p>
        </w:tc>
      </w:tr>
    </w:tbl>
    <w:p/>
    <w:p>
      <w:pPr>
        <w:pStyle w:val="Heading2"/>
      </w:pPr>
      <w:r>
        <w:t>7.3 交付前的必要收口</w:t>
      </w:r>
    </w:p>
    <w:p>
      <w:r>
        <w:t>先解决来源与授权问题，再补充不超过三分钟的操作演示视频，最后核对本届官方时间和材料规则。正式 ID 的宿主识别可进行最小隔离确认，无需重做已完成的大批量模型测试；任何新费用仍须单独批准。</w:t>
      </w:r>
    </w:p>
    <w:p>
      <w:r>
        <w:t>当前为暂存审核材料，不进行官网提交。优化方向应始终服务于真实学习任务，而非通过额外人格规则、依赖和冗余测试增加复杂度。</w:t>
      </w:r>
    </w:p>
    <w:p>
      <w:r>
        <w:br w:type="page"/>
      </w:r>
    </w:p>
    <w:p>
      <w:pPr>
        <w:pStyle w:val="Heading1"/>
      </w:pPr>
      <w:r>
        <w:t>第八章 原创性、版权与来源声明</w:t>
      </w:r>
    </w:p>
    <w:p>
      <w:pPr>
        <w:pStyle w:val="Heading2"/>
      </w:pPr>
      <w:r>
        <w:t>8.1 团队贡献与参考边界</w:t>
      </w:r>
    </w:p>
    <w:p>
      <w:r>
        <w:t>本项目的工作流整合、约束配置、本地报告实现和测试设计按既有项目记录形成；其中考试地图、主动回忆、间隔复习和边际收益排序等思想有公开参考。概念借鉴不应包装为独创理论；“团队新实现”的来源自述也不能替代历史贡献与权属证明。完整来源保留在 Skill 的 provenance.md。</w:t>
      </w:r>
    </w:p>
    <w:p>
      <w:r>
        <w:t>公开参考包括 FishingQ/Study-for-Exam、open-exam-skills、examprep-ai、agentic-exam-prep、study-system 与 study-planner。部分仓库已核到 MIT LICENSE，部分仅有仓库或 README 声明；需结合使用版本和实质复制情况保留通知。具体核验链接、差异与未确认事项见随附《原创性与许可审查》。</w:t>
      </w:r>
    </w:p>
    <w:p>
      <w:pPr>
        <w:pStyle w:val="Heading2"/>
      </w:pPr>
      <w:r>
        <w:t>8.2 人格来源与提交阻断</w:t>
      </w:r>
    </w:p>
    <w:p>
      <w:r>
        <w:t>可选人格内部仍以 Hermione 的文学人物研究为基准，并非仅靠改称“学习伙伴”即可取得角色权利。包内未使用小说长段引文、影视素材或第三方角色对白库；但未获得专门参赛展示或再分发授权。J.K. Rowling 官网 Legal 页面列有作品及人物相关权利声明，不构成本项目许可。</w:t>
      </w:r>
    </w:p>
    <w:p>
      <w:r>
        <w:t>比赛要求学校可修改、使用、宣传作品，团队不能处分无权转让的第三方内容。文学人物使用安排及上游工作流贡献归属未确认前，仍属公开提交阻断。可向主办方与权利人确认范围；如无法确认，应另行批准原创人格路线，不能删去署名或名称来伪装原创。本轮不改冻结人格。</w:t>
      </w:r>
    </w:p>
    <w:p>
      <w:pPr>
        <w:pStyle w:val="Heading2"/>
      </w:pPr>
      <w:r>
        <w:t>8.3 数据与发布声明</w:t>
      </w:r>
    </w:p>
    <w:p>
      <w:r>
        <w:t>所有示例均为合成内容，提交包不含真实学生档案、API Key 或运行日志；队长电话仅保留在比赛联系信息文件。模型生成内容需核验，不能保证知识永远正确。本次未制作视频，暂存 ZIP 不代表材料齐备，不进行官网发布。</w:t>
      </w:r>
    </w:p>
    <w:p>
      <w:r>
        <w:t>关键来源：Open Exam Skills / LICENSE；AAS / LICENSE；Personal Operating System / LICENSE；Agentic Exam Prep 仓库；Study Planner / README；J.K. Rowling / Legal。可点击链接及许可核验状态集中列于随附审查文件，避免在正文中混淆参考与授权。</w:t>
      </w:r>
    </w:p>
    <w:sectPr w:rsidR="00FC693F" w:rsidRPr="0006063C" w:rsidSect="00034616">
      <w:headerReference w:type="default" r:id="rId9"/>
      <w:footerReference w:type="default" r:id="rId10"/>
      <w:pgSz w:w="12240" w:h="15840"/>
      <w:pgMar w:top="1181" w:right="1224" w:bottom="1152"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 PAGE </w:instrText>
      <w:fldChar w:fldCharType="separate"/>
      <w:t>1</w:t>
      <w:fldChar w:fldCharType="end"/>
    </w:r>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考前提分助手 · 学习伙伴版  /  作品说明书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Calibri" w:hAnsi="Calibri" w:eastAsia="宋体"/>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80"/>
      <w:outlineLvl w:val="0"/>
    </w:pPr>
    <w:rPr>
      <w:rFonts w:asciiTheme="majorHAnsi" w:eastAsiaTheme="majorEastAsia" w:hAnsiTheme="majorHAnsi" w:cstheme="majorBidi" w:ascii="Calibri" w:hAnsi="Calibri"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80"/>
      <w:outlineLvl w:val="2"/>
    </w:pPr>
    <w:rPr>
      <w:rFonts w:asciiTheme="majorHAnsi" w:eastAsiaTheme="majorEastAsia" w:hAnsiTheme="majorHAnsi" w:cstheme="majorBidi" w:ascii="Calibri" w:hAnsi="Calibr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120"/>
      <w:contextualSpacing/>
    </w:pPr>
    <w:rPr>
      <w:rFonts w:asciiTheme="majorHAnsi" w:eastAsiaTheme="majorEastAsia" w:hAnsiTheme="majorHAnsi" w:cstheme="majorBidi" w:ascii="Calibri" w:hAnsi="Calibri" w:eastAsia="微软雅黑"/>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80"/>
    </w:pPr>
    <w:rPr>
      <w:rFonts w:asciiTheme="majorHAnsi" w:eastAsiaTheme="majorEastAsia" w:hAnsiTheme="majorHAnsi" w:cstheme="majorBidi" w:ascii="Calibri" w:hAnsi="Calibri" w:eastAsia="微软雅黑"/>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学习3g荣光，邮兵义不容辞</dc:title>
  <dc:subject>考前提分助手 · 学习伙伴版｜参赛作品说明书</dc:subject>
  <dc:creator>会赢的</dc:creator>
  <cp:keywords>TeleAgent, Skill, 考前复习, 学习伙伴</cp:keywords>
  <dc:description>暂存审核版；未含演示视频；不构成公开发布授权。</dc:description>
  <cp:lastModifiedBy/>
  <cp:revision>1</cp:revision>
  <dcterms:created xsi:type="dcterms:W3CDTF">2013-12-23T23:15:00Z</dcterms:created>
  <dcterms:modified xsi:type="dcterms:W3CDTF">2013-12-23T23:15:00Z</dcterms:modified>
  <cp:category/>
</cp:coreProperties>
</file>