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03-positioning</w:t>
      </w:r>
    </w:p>
    <w:p>
      <w:r>
        <w:rPr>
          <w:i/>
          <w:color w:val="6B7280"/>
          <w:sz w:val="17"/>
        </w:rPr>
        <w:t>Generated from the Markdown source in deliverables/ by tools/export.py. The Markdown is the source of truth. Edit there and re-run, do not edit this file.</w:t>
      </w:r>
    </w:p>
    <w:p>
      <w:pPr>
        <w:pStyle w:val="Heading1"/>
      </w:pPr>
      <w:r>
        <w:t>Track B, Phase 3. Positioning</w:t>
      </w:r>
    </w:p>
    <w:p>
      <w:r>
        <w:t>Step 3.1, three statements. Runs as written per `SKILL-ADAPTATION.md`.</w:t>
      </w:r>
    </w:p>
    <w:p>
      <w:r>
        <w:t>**Rebuilt after conflict resolution.** Conflict 2 resolved as the ladder, conflict 3 as the split promise. See `00-RESOLUTIONS.md`. The previous version claimed the builder was capable and merely invisible, which the Block 1 research shows is only half true.</w:t>
      </w:r>
    </w:p>
    <w:p>
      <w:r>
        <w:t>Every statement respects `GTM-BRIEF.md` Section 5. Economics are compared, readiness is never compared. No superlative the research does not support.</w:t>
      </w:r>
    </w:p>
    <w:p>
      <w:r>
        <w:t>---</w:t>
      </w:r>
    </w:p>
    <w:p>
      <w:pPr>
        <w:pStyle w:val="Heading2"/>
      </w:pPr>
      <w:r>
        <w:t>The core claim, restated</w:t>
      </w:r>
    </w:p>
    <w:p>
      <w:r>
        <w:t>Arab Tech Export teaches what a buyer in the United States or Canada verifies before awarding work, and how to move from work that needs none of it to contracts that clear procurement.</w:t>
      </w:r>
    </w:p>
    <w:p>
      <w:r>
        <w:t>Some of what is missing is how you present. Some of it you have to build. The offer is knowing which is which, and in what order.</w:t>
      </w:r>
    </w:p>
    <w:p>
      <w:r>
        <w:t>---</w:t>
      </w:r>
    </w:p>
    <w:p>
      <w:pPr>
        <w:pStyle w:val="Heading2"/>
      </w:pPr>
      <w:r>
        <w:t>Statement 1. Against direct competitors, paid Arabic technical education</w:t>
      </w:r>
    </w:p>
    <w:p>
      <w:r>
        <w:t>**Against Hsoub Academy, Arabic course platforms, and general freelancing courses:**</w:t>
      </w:r>
    </w:p>
    <w:p>
      <w:r>
        <w:t>Not another course teaching Arab builders a skill they already have. Arab Tech Export starts after the skill, at the point where a capable builder cannot get through a North American buyer's procurement, legal and security review. Some of that gap is presentation and some of it is paperwork you have never been asked for. We name which is which, and the work happens on the member's own live deal.</w:t>
      </w:r>
    </w:p>
    <w:p>
      <w:r>
        <w:t>**Why this form.** It concedes craft ground to Hsoub, which scored 9.1 against this business's 3.2 on breadth of instruction, and takes ground nobody holds. The split promise is doing real work in the second half: it stops the statement overpromising a presentational fix for a paperwork problem.</w:t>
      </w:r>
    </w:p>
    <w:p>
      <w:r>
        <w:t>---</w:t>
      </w:r>
    </w:p>
    <w:p>
      <w:pPr>
        <w:pStyle w:val="Heading2"/>
      </w:pPr>
      <w:r>
        <w:t>Statement 2. Against indirect competitors, marketplaces and free content</w:t>
      </w:r>
    </w:p>
    <w:p>
      <w:r>
        <w:t>**Against Upwork, Mostaql, and the free content library:**</w:t>
      </w:r>
    </w:p>
    <w:p>
      <w:r>
        <w:t>Not a shortcut to more of the same work. A marketplace gives access and takes the price with it, because a buyer choosing from a list compares on price, and it keeps you at the deal size that needs no procurement. Free content teaches selling in general, made mostly by people selling to a buyer they already had. Arab Tech Export is about one route, and about the deals on the other side of a procurement process.</w:t>
      </w:r>
    </w:p>
    <w:p>
      <w:r>
        <w:t>**Why this form.** The marketplace critique now has a mechanism rather than a sentiment. Platform work sits in band 1, where the buyer runs no formal process, and staying there is the actual ceiling. That is factual and it needs no income claim.</w:t>
      </w:r>
    </w:p>
    <w:p>
      <w:r>
        <w:t>---</w:t>
      </w:r>
    </w:p>
    <w:p>
      <w:pPr>
        <w:pStyle w:val="Heading2"/>
      </w:pPr>
      <w:r>
        <w:t>Statement 3. Against the status quo</w:t>
      </w:r>
    </w:p>
    <w:p>
      <w:r>
        <w:t>The status quo for this buyer, per `SKILL-ADAPTATION.md`: keep learning from free content and keep bidding on marketplaces.</w:t>
      </w:r>
    </w:p>
    <w:p>
      <w:r>
        <w:t>**Against doing nothing differently:**</w:t>
      </w:r>
    </w:p>
    <w:p>
      <w:r>
        <w:t>Not a question of working harder at the same two things. Watching more free content and sending more marketplace bids are both improvements to a position that was never the constraint. The capability is there. What is missing is what a buyer in the United States or Canada checks before they can award work, and most of those checks happen after the conversation ends, in departments that never met you.</w:t>
      </w:r>
    </w:p>
    <w:p>
      <w:r>
        <w:t>**Why this form.** The status quo is genuinely good and free, and a statement that pretends otherwise loses an audience using it right now and finding it useful. The final clause is the Block 1 finding: the checks are run by procurement, legal, security and finance, none of whom were on the call.</w:t>
      </w:r>
    </w:p>
    <w:p>
      <w:r>
        <w:t>---</w:t>
      </w:r>
    </w:p>
    <w:p>
      <w:pPr>
        <w:pStyle w:val="Heading2"/>
      </w:pPr>
      <w:r>
        <w:t>The ladder, as positioning</w:t>
      </w:r>
    </w:p>
    <w:p>
      <w:r>
        <w:t>The four bands from `00-RESOLUTIONS.md`, stated the way a member would hear them.</w:t>
      </w:r>
    </w:p>
    <w:tbl>
      <w:tblPr>
        <w:tblStyle w:val="LightGrid-Accent1"/>
        <w:tblW w:type="auto" w:w="0"/>
        <w:tblLayout w:type="autofit"/>
        <w:tblLook w:firstColumn="1" w:firstRow="1" w:lastColumn="0" w:lastRow="0" w:noHBand="0" w:noVBand="1" w:val="04A0"/>
      </w:tblPr>
      <w:tblGrid>
        <w:gridCol w:w="2880"/>
        <w:gridCol w:w="2880"/>
        <w:gridCol w:w="2880"/>
      </w:tblGrid>
      <w:tr>
        <w:tc>
          <w:tcPr>
            <w:tcW w:type="dxa" w:w="2880"/>
          </w:tcPr>
          <w:p>
            <w:r>
              <w:rPr>
                <w:b/>
                <w:sz w:val="17"/>
              </w:rPr>
              <w:t>Band</w:t>
            </w:r>
          </w:p>
        </w:tc>
        <w:tc>
          <w:tcPr>
            <w:tcW w:type="dxa" w:w="2880"/>
          </w:tcPr>
          <w:p>
            <w:r>
              <w:rPr>
                <w:b/>
                <w:sz w:val="17"/>
              </w:rPr>
              <w:t>What the buyer does</w:t>
            </w:r>
          </w:p>
        </w:tc>
        <w:tc>
          <w:tcPr>
            <w:tcW w:type="dxa" w:w="2880"/>
          </w:tcPr>
          <w:p>
            <w:r>
              <w:rPr>
                <w:b/>
                <w:sz w:val="17"/>
              </w:rPr>
              <w:t>What it means for the member</w:t>
            </w:r>
          </w:p>
        </w:tc>
      </w:tr>
      <w:tr>
        <w:tc>
          <w:tcPr>
            <w:tcW w:type="dxa" w:w="2880"/>
          </w:tcPr>
          <w:p>
            <w:r>
              <w:rPr>
                <w:sz w:val="17"/>
              </w:rPr>
              <w:t>1</w:t>
            </w:r>
          </w:p>
        </w:tc>
        <w:tc>
          <w:tcPr>
            <w:tcW w:type="dxa" w:w="2880"/>
          </w:tcPr>
          <w:p>
            <w:r>
              <w:rPr>
                <w:sz w:val="17"/>
              </w:rPr>
              <w:t>No formal process. One person decides</w:t>
            </w:r>
          </w:p>
        </w:tc>
        <w:tc>
          <w:tcPr>
            <w:tcW w:type="dxa" w:w="2880"/>
          </w:tcPr>
          <w:p>
            <w:r>
              <w:rPr>
                <w:sz w:val="17"/>
              </w:rPr>
              <w:t>Where marketplace and referral work sits. Nothing here requires anything of you</w:t>
            </w:r>
          </w:p>
        </w:tc>
      </w:tr>
      <w:tr>
        <w:tc>
          <w:tcPr>
            <w:tcW w:type="dxa" w:w="2880"/>
          </w:tcPr>
          <w:p>
            <w:r>
              <w:rPr>
                <w:sz w:val="17"/>
              </w:rPr>
              <w:t>2</w:t>
            </w:r>
          </w:p>
        </w:tc>
        <w:tc>
          <w:tcPr>
            <w:tcW w:type="dxa" w:w="2880"/>
          </w:tcPr>
          <w:p>
            <w:r>
              <w:rPr>
                <w:sz w:val="17"/>
              </w:rPr>
              <w:t>Procurement appears. Some review</w:t>
            </w:r>
          </w:p>
        </w:tc>
        <w:tc>
          <w:tcPr>
            <w:tcW w:type="dxa" w:w="2880"/>
          </w:tcPr>
          <w:p>
            <w:r>
              <w:rPr>
                <w:sz w:val="17"/>
              </w:rPr>
              <w:t>The first rung where paperwork decides the outcome</w:t>
            </w:r>
          </w:p>
        </w:tc>
      </w:tr>
      <w:tr>
        <w:tc>
          <w:tcPr>
            <w:tcW w:type="dxa" w:w="2880"/>
          </w:tcPr>
          <w:p>
            <w:r>
              <w:rPr>
                <w:sz w:val="17"/>
              </w:rPr>
              <w:t>3</w:t>
            </w:r>
          </w:p>
        </w:tc>
        <w:tc>
          <w:tcPr>
            <w:tcW w:type="dxa" w:w="2880"/>
          </w:tcPr>
          <w:p>
            <w:r>
              <w:rPr>
                <w:sz w:val="17"/>
              </w:rPr>
              <w:t>Procurement, legal and a security questionnaire</w:t>
            </w:r>
          </w:p>
        </w:tc>
        <w:tc>
          <w:tcPr>
            <w:tcW w:type="dxa" w:w="2880"/>
          </w:tcPr>
          <w:p>
            <w:r>
              <w:rPr>
                <w:sz w:val="17"/>
              </w:rPr>
              <w:t>Where most capable foreign vendors stop, and where the work of this offer sits</w:t>
            </w:r>
          </w:p>
        </w:tc>
      </w:tr>
      <w:tr>
        <w:tc>
          <w:tcPr>
            <w:tcW w:type="dxa" w:w="2880"/>
          </w:tcPr>
          <w:p>
            <w:r>
              <w:rPr>
                <w:sz w:val="17"/>
              </w:rPr>
              <w:t>4</w:t>
            </w:r>
          </w:p>
        </w:tc>
        <w:tc>
          <w:tcPr>
            <w:tcW w:type="dxa" w:w="2880"/>
          </w:tcPr>
          <w:p>
            <w:r>
              <w:rPr>
                <w:sz w:val="17"/>
              </w:rPr>
              <w:t>Full enterprise process</w:t>
            </w:r>
          </w:p>
        </w:tc>
        <w:tc>
          <w:tcPr>
            <w:tcW w:type="dxa" w:w="2880"/>
          </w:tcPr>
          <w:p>
            <w:r>
              <w:rPr>
                <w:sz w:val="17"/>
              </w:rPr>
              <w:t>Reachable, slowly, and not the launch promise</w:t>
            </w:r>
          </w:p>
        </w:tc>
      </w:tr>
    </w:tbl>
    <w:p/>
    <w:p>
      <w:r>
        <w:t>**The positioning is the movement between bands, not any one band.** That is what makes one curriculum serve a member bidding small projects and a member stuck below their first procurement review.</w:t>
      </w:r>
    </w:p>
    <w:p>
      <w:r>
        <w:t>---</w:t>
      </w:r>
    </w:p>
    <w:p>
      <w:pPr>
        <w:pStyle w:val="Heading2"/>
      </w:pPr>
      <w:r>
        <w:t>What these statements deliberately do not say</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Not said</w:t>
            </w:r>
          </w:p>
        </w:tc>
        <w:tc>
          <w:tcPr>
            <w:tcW w:type="dxa" w:w="4320"/>
          </w:tcPr>
          <w:p>
            <w:r>
              <w:rPr>
                <w:b/>
                <w:sz w:val="17"/>
              </w:rPr>
              <w:t>Why</w:t>
            </w:r>
          </w:p>
        </w:tc>
      </w:tr>
      <w:tr>
        <w:tc>
          <w:tcPr>
            <w:tcW w:type="dxa" w:w="4320"/>
          </w:tcPr>
          <w:p>
            <w:r>
              <w:rPr>
                <w:sz w:val="17"/>
              </w:rPr>
              <w:t>Any version of local markets not being ready</w:t>
            </w:r>
          </w:p>
        </w:tc>
        <w:tc>
          <w:tcPr>
            <w:tcW w:type="dxa" w:w="4320"/>
          </w:tcPr>
          <w:p>
            <w:r>
              <w:rPr>
                <w:sz w:val="17"/>
              </w:rPr>
              <w:t>Banned outright. The audience being sold to lives in those markets</w:t>
            </w:r>
          </w:p>
        </w:tc>
      </w:tr>
      <w:tr>
        <w:tc>
          <w:tcPr>
            <w:tcW w:type="dxa" w:w="4320"/>
          </w:tcPr>
          <w:p>
            <w:r>
              <w:rPr>
                <w:sz w:val="17"/>
              </w:rPr>
              <w:t>Any earnings, rate, or revenue comparison</w:t>
            </w:r>
          </w:p>
        </w:tc>
        <w:tc>
          <w:tcPr>
            <w:tcW w:type="dxa" w:w="4320"/>
          </w:tcPr>
          <w:p>
            <w:r>
              <w:rPr>
                <w:sz w:val="17"/>
              </w:rPr>
              <w:t>Banned. No figure about money appears above. The bands describe process, not income</w:t>
            </w:r>
          </w:p>
        </w:tc>
      </w:tr>
      <w:tr>
        <w:tc>
          <w:tcPr>
            <w:tcW w:type="dxa" w:w="4320"/>
          </w:tcPr>
          <w:p>
            <w:r>
              <w:rPr>
                <w:sz w:val="17"/>
              </w:rPr>
              <w:t>Premium pricing, exponential revenue</w:t>
            </w:r>
          </w:p>
        </w:tc>
        <w:tc>
          <w:tcPr>
            <w:tcW w:type="dxa" w:w="4320"/>
          </w:tcPr>
          <w:p>
            <w:r>
              <w:rPr>
                <w:sz w:val="17"/>
              </w:rPr>
              <w:t>Banned framing</w:t>
            </w:r>
          </w:p>
        </w:tc>
      </w:tr>
      <w:tr>
        <w:tc>
          <w:tcPr>
            <w:tcW w:type="dxa" w:w="4320"/>
          </w:tcPr>
          <w:p>
            <w:r>
              <w:rPr>
                <w:sz w:val="17"/>
              </w:rPr>
              <w:t>Only provider pairing this origin with these markets</w:t>
            </w:r>
          </w:p>
        </w:tc>
        <w:tc>
          <w:tcPr>
            <w:tcW w:type="dxa" w:w="4320"/>
          </w:tcPr>
          <w:p>
            <w:r>
              <w:rPr>
                <w:sz w:val="17"/>
              </w:rPr>
              <w:t>Phase 2 research does not support a superlative</w:t>
            </w:r>
          </w:p>
        </w:tc>
      </w:tr>
      <w:tr>
        <w:tc>
          <w:tcPr>
            <w:tcW w:type="dxa" w:w="4320"/>
          </w:tcPr>
          <w:p>
            <w:r>
              <w:rPr>
                <w:sz w:val="17"/>
              </w:rPr>
              <w:t>That clearing procurement wins the deal</w:t>
            </w:r>
          </w:p>
        </w:tc>
        <w:tc>
          <w:tcPr>
            <w:tcW w:type="dxa" w:w="4320"/>
          </w:tcPr>
          <w:p>
            <w:r>
              <w:rPr>
                <w:sz w:val="17"/>
              </w:rPr>
              <w:t>It does not. It makes you eligible. Stated as such everywhere</w:t>
            </w:r>
          </w:p>
        </w:tc>
      </w:tr>
      <w:tr>
        <w:tc>
          <w:tcPr>
            <w:tcW w:type="dxa" w:w="4320"/>
          </w:tcPr>
          <w:p>
            <w:r>
              <w:rPr>
                <w:sz w:val="17"/>
              </w:rPr>
              <w:t>Any guarantee</w:t>
            </w:r>
          </w:p>
        </w:tc>
        <w:tc>
          <w:tcPr>
            <w:tcW w:type="dxa" w:w="4320"/>
          </w:tcPr>
          <w:p>
            <w:r>
              <w:rPr>
                <w:sz w:val="17"/>
              </w:rPr>
              <w:t>None given</w:t>
            </w:r>
          </w:p>
        </w:tc>
      </w:tr>
    </w:tbl>
    <w:p/>
    <w:p>
      <w:r>
        <w:t>The second-to-last row is new and it matters. The ladder framing invites an implied promise that clearing the gates wins work. It does not. It removes a reason to be rejected. Every asset built from this must hold that line.</w:t>
      </w:r>
    </w:p>
    <w:p>
      <w:r>
        <w:t>---</w:t>
      </w:r>
    </w:p>
    <w:p>
      <w:pPr>
        <w:pStyle w:val="Heading2"/>
      </w:pPr>
      <w:r>
        <w:t>Current state against projected state</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sz w:val="17"/>
              </w:rPr>
              <w:t>Vector</w:t>
            </w:r>
          </w:p>
        </w:tc>
        <w:tc>
          <w:tcPr>
            <w:tcW w:type="dxa" w:w="2160"/>
          </w:tcPr>
          <w:p>
            <w:r>
              <w:rPr>
                <w:b/>
                <w:sz w:val="17"/>
              </w:rPr>
              <w:t>Current</w:t>
            </w:r>
          </w:p>
        </w:tc>
        <w:tc>
          <w:tcPr>
            <w:tcW w:type="dxa" w:w="2160"/>
          </w:tcPr>
          <w:p>
            <w:r>
              <w:rPr>
                <w:b/>
                <w:sz w:val="17"/>
              </w:rPr>
              <w:t>Projected, 12 months</w:t>
            </w:r>
          </w:p>
        </w:tc>
        <w:tc>
          <w:tcPr>
            <w:tcW w:type="dxa" w:w="2160"/>
          </w:tcPr>
          <w:p>
            <w:r>
              <w:rPr>
                <w:b/>
                <w:sz w:val="17"/>
              </w:rPr>
              <w:t>What moves it</w:t>
            </w:r>
          </w:p>
        </w:tc>
      </w:tr>
      <w:tr>
        <w:tc>
          <w:tcPr>
            <w:tcW w:type="dxa" w:w="2160"/>
          </w:tcPr>
          <w:p>
            <w:r>
              <w:rPr>
                <w:sz w:val="17"/>
              </w:rPr>
              <w:t>Arabic accessibility and price fit</w:t>
            </w:r>
          </w:p>
        </w:tc>
        <w:tc>
          <w:tcPr>
            <w:tcW w:type="dxa" w:w="2160"/>
          </w:tcPr>
          <w:p>
            <w:r>
              <w:rPr>
                <w:sz w:val="17"/>
              </w:rPr>
              <w:t>6.4</w:t>
            </w:r>
          </w:p>
        </w:tc>
        <w:tc>
          <w:tcPr>
            <w:tcW w:type="dxa" w:w="2160"/>
          </w:tcPr>
          <w:p>
            <w:r>
              <w:rPr>
                <w:sz w:val="17"/>
              </w:rPr>
              <w:t>6.4</w:t>
            </w:r>
          </w:p>
        </w:tc>
        <w:tc>
          <w:tcPr>
            <w:tcW w:type="dxa" w:w="2160"/>
          </w:tcPr>
          <w:p>
            <w:r>
              <w:rPr>
                <w:sz w:val="17"/>
              </w:rPr>
              <w:t>Nothing. Conceded ground</w:t>
            </w:r>
          </w:p>
        </w:tc>
      </w:tr>
      <w:tr>
        <w:tc>
          <w:tcPr>
            <w:tcW w:type="dxa" w:w="2160"/>
          </w:tcPr>
          <w:p>
            <w:r>
              <w:rPr>
                <w:sz w:val="17"/>
              </w:rPr>
              <w:t>Breadth of craft instruction</w:t>
            </w:r>
          </w:p>
        </w:tc>
        <w:tc>
          <w:tcPr>
            <w:tcW w:type="dxa" w:w="2160"/>
          </w:tcPr>
          <w:p>
            <w:r>
              <w:rPr>
                <w:sz w:val="17"/>
              </w:rPr>
              <w:t>3.2</w:t>
            </w:r>
          </w:p>
        </w:tc>
        <w:tc>
          <w:tcPr>
            <w:tcW w:type="dxa" w:w="2160"/>
          </w:tcPr>
          <w:p>
            <w:r>
              <w:rPr>
                <w:sz w:val="17"/>
              </w:rPr>
              <w:t>3.2</w:t>
            </w:r>
          </w:p>
        </w:tc>
        <w:tc>
          <w:tcPr>
            <w:tcW w:type="dxa" w:w="2160"/>
          </w:tcPr>
          <w:p>
            <w:r>
              <w:rPr>
                <w:sz w:val="17"/>
              </w:rPr>
              <w:t>Nothing. Deliberately not contested</w:t>
            </w:r>
          </w:p>
        </w:tc>
      </w:tr>
      <w:tr>
        <w:tc>
          <w:tcPr>
            <w:tcW w:type="dxa" w:w="2160"/>
          </w:tcPr>
          <w:p>
            <w:r>
              <w:rPr>
                <w:sz w:val="17"/>
              </w:rPr>
              <w:t>Target market buyer specificity</w:t>
            </w:r>
          </w:p>
        </w:tc>
        <w:tc>
          <w:tcPr>
            <w:tcW w:type="dxa" w:w="2160"/>
          </w:tcPr>
          <w:p>
            <w:r>
              <w:rPr>
                <w:sz w:val="17"/>
              </w:rPr>
              <w:t>9.4</w:t>
            </w:r>
          </w:p>
        </w:tc>
        <w:tc>
          <w:tcPr>
            <w:tcW w:type="dxa" w:w="2160"/>
          </w:tcPr>
          <w:p>
            <w:r>
              <w:rPr>
                <w:sz w:val="17"/>
              </w:rPr>
              <w:t>9.4, defended</w:t>
            </w:r>
          </w:p>
        </w:tc>
        <w:tc>
          <w:tcPr>
            <w:tcW w:type="dxa" w:w="2160"/>
          </w:tcPr>
          <w:p>
            <w:r>
              <w:rPr>
                <w:sz w:val="17"/>
              </w:rPr>
              <w:t>Now evidenced rather than asserted, see 00-BUYER-CHECKS.md</w:t>
            </w:r>
          </w:p>
        </w:tc>
      </w:tr>
      <w:tr>
        <w:tc>
          <w:tcPr>
            <w:tcW w:type="dxa" w:w="2160"/>
          </w:tcPr>
          <w:p>
            <w:r>
              <w:rPr>
                <w:sz w:val="17"/>
              </w:rPr>
              <w:t>Applied to the member's own live deal</w:t>
            </w:r>
          </w:p>
        </w:tc>
        <w:tc>
          <w:tcPr>
            <w:tcW w:type="dxa" w:w="2160"/>
          </w:tcPr>
          <w:p>
            <w:r>
              <w:rPr>
                <w:sz w:val="17"/>
              </w:rPr>
              <w:t>8.9</w:t>
            </w:r>
          </w:p>
        </w:tc>
        <w:tc>
          <w:tcPr>
            <w:tcW w:type="dxa" w:w="2160"/>
          </w:tcPr>
          <w:p>
            <w:r>
              <w:rPr>
                <w:sz w:val="17"/>
              </w:rPr>
              <w:t>9.6</w:t>
            </w:r>
          </w:p>
        </w:tc>
        <w:tc>
          <w:tcPr>
            <w:tcW w:type="dxa" w:w="2160"/>
          </w:tcPr>
          <w:p>
            <w:r>
              <w:rPr>
                <w:sz w:val="17"/>
              </w:rPr>
              <w:t>Teardown cadence, the deal rubric, a founding cohort with live deals</w:t>
            </w:r>
          </w:p>
        </w:tc>
      </w:tr>
    </w:tbl>
    <w:p/>
    <w:p>
      <w:r>
        <w:t>Two of four flat on purpose. A plan that projects improvement on every vector has chosen nothing.</w:t>
      </w:r>
    </w:p>
    <w:p>
      <w:r>
        <w:t>---</w:t>
      </w:r>
    </w:p>
    <w:p>
      <w:pPr>
        <w:pStyle w:val="Heading2"/>
      </w:pPr>
      <w:r>
        <w:t>Carried forward</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Output</w:t>
            </w:r>
          </w:p>
        </w:tc>
        <w:tc>
          <w:tcPr>
            <w:tcW w:type="dxa" w:w="4320"/>
          </w:tcPr>
          <w:p>
            <w:r>
              <w:rPr>
                <w:b/>
                <w:sz w:val="17"/>
              </w:rPr>
              <w:t>Goes to</w:t>
            </w:r>
          </w:p>
        </w:tc>
      </w:tr>
      <w:tr>
        <w:tc>
          <w:tcPr>
            <w:tcW w:type="dxa" w:w="4320"/>
          </w:tcPr>
          <w:p>
            <w:r>
              <w:rPr>
                <w:sz w:val="17"/>
              </w:rPr>
              <w:t>The core claim and the split promise</w:t>
            </w:r>
          </w:p>
        </w:tc>
        <w:tc>
          <w:tcPr>
            <w:tcW w:type="dxa" w:w="4320"/>
          </w:tcPr>
          <w:p>
            <w:r>
              <w:rPr>
                <w:sz w:val="17"/>
              </w:rPr>
              <w:t>Phase 6 pillars, scorecard bands, deck slide 1</w:t>
            </w:r>
          </w:p>
        </w:tc>
      </w:tr>
      <w:tr>
        <w:tc>
          <w:tcPr>
            <w:tcW w:type="dxa" w:w="4320"/>
          </w:tcPr>
          <w:p>
            <w:r>
              <w:rPr>
                <w:sz w:val="17"/>
              </w:rPr>
              <w:t>The four bands</w:t>
            </w:r>
          </w:p>
        </w:tc>
        <w:tc>
          <w:tcPr>
            <w:tcW w:type="dxa" w:w="4320"/>
          </w:tcPr>
          <w:p>
            <w:r>
              <w:rPr>
                <w:sz w:val="17"/>
              </w:rPr>
              <w:t>Phase 4 ICP, Phase 9 tiers, the whole curriculum</w:t>
            </w:r>
          </w:p>
        </w:tc>
      </w:tr>
      <w:tr>
        <w:tc>
          <w:tcPr>
            <w:tcW w:type="dxa" w:w="4320"/>
          </w:tcPr>
          <w:p>
            <w:r>
              <w:rPr>
                <w:sz w:val="17"/>
              </w:rPr>
              <w:t>Clearing procurement makes you eligible, it does not win the deal</w:t>
            </w:r>
          </w:p>
        </w:tc>
        <w:tc>
          <w:tcPr>
            <w:tcW w:type="dxa" w:w="4320"/>
          </w:tcPr>
          <w:p>
            <w:r>
              <w:rPr>
                <w:sz w:val="17"/>
              </w:rPr>
              <w:t>Every asset. This is the line most likely to be crossed later</w:t>
            </w:r>
          </w:p>
        </w:tc>
      </w:tr>
      <w:tr>
        <w:tc>
          <w:tcPr>
            <w:tcW w:type="dxa" w:w="4320"/>
          </w:tcPr>
          <w:p>
            <w:r>
              <w:rPr>
                <w:sz w:val="17"/>
              </w:rPr>
              <w:t>Conceded ground on price and breadth</w:t>
            </w:r>
          </w:p>
        </w:tc>
        <w:tc>
          <w:tcPr>
            <w:tcW w:type="dxa" w:w="4320"/>
          </w:tcPr>
          <w:p>
            <w:r>
              <w:rPr>
                <w:sz w:val="17"/>
              </w:rPr>
              <w:t>Phase 9 floor, Phase 8 channel choice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