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00-CONFLICTS-TO-RESOLVE</w:t>
      </w:r>
    </w:p>
    <w:p>
      <w:r>
        <w:rPr>
          <w:i/>
          <w:color w:val="6B7280"/>
          <w:sz w:val="17"/>
        </w:rPr>
        <w:t>Generated from the Markdown source in deliverables/ by tools/export.py. The Markdown is the source of truth. Edit there and re-run, do not edit this file.</w:t>
      </w:r>
    </w:p>
    <w:p>
      <w:pPr>
        <w:pStyle w:val="Heading1"/>
      </w:pPr>
      <w:r>
        <w:t>Conflicts between the Block 1 research and the existing GTM</w:t>
      </w:r>
    </w:p>
    <w:p>
      <w:r>
        <w:t>Eight conflicts, ranked by how much output changes. Each carries what the research says, what the run currently says, why they cannot both stand, options, and a recommendation.</w:t>
      </w:r>
    </w:p>
    <w:p>
      <w:r>
        <w:t>**None of these has been resolved unilaterally.** The dashboards still say what they said. Where a conflict touches a file, the file now carries a pointer to the conflict number rather than a silent edit.</w:t>
      </w:r>
    </w:p>
    <w:p>
      <w:r>
        <w:t>One exception, marked below as **already fixed**: an invented statistic in Phase 6 copy. That was a defect against the brief's own rules, not a judgement call.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Conflict</w:t>
            </w:r>
          </w:p>
        </w:tc>
        <w:tc>
          <w:tcPr>
            <w:tcW w:type="dxa" w:w="2160"/>
          </w:tcPr>
          <w:p>
            <w:r>
              <w:rPr>
                <w:b/>
                <w:sz w:val="17"/>
              </w:rPr>
              <w:t>Severity</w:t>
            </w:r>
          </w:p>
        </w:tc>
        <w:tc>
          <w:tcPr>
            <w:tcW w:type="dxa" w:w="2160"/>
          </w:tcPr>
          <w:p>
            <w:r>
              <w:rPr>
                <w:b/>
                <w:sz w:val="17"/>
              </w:rPr>
              <w:t>Blocks</w:t>
            </w:r>
          </w:p>
        </w:tc>
      </w:tr>
      <w:tr>
        <w:tc>
          <w:tcPr>
            <w:tcW w:type="dxa" w:w="2160"/>
          </w:tcPr>
          <w:p>
            <w:r>
              <w:rPr>
                <w:sz w:val="17"/>
              </w:rPr>
              <w:t>1</w:t>
            </w:r>
          </w:p>
        </w:tc>
        <w:tc>
          <w:tcPr>
            <w:tcW w:type="dxa" w:w="2160"/>
          </w:tcPr>
          <w:p>
            <w:r>
              <w:rPr>
                <w:sz w:val="17"/>
              </w:rPr>
              <w:t>The scorecard's six dimensions are not the buyer's six checks</w:t>
            </w:r>
          </w:p>
        </w:tc>
        <w:tc>
          <w:tcPr>
            <w:tcW w:type="dxa" w:w="2160"/>
          </w:tcPr>
          <w:p>
            <w:r>
              <w:rPr>
                <w:sz w:val="17"/>
              </w:rPr>
              <w:t>High</w:t>
            </w:r>
          </w:p>
        </w:tc>
        <w:tc>
          <w:tcPr>
            <w:tcW w:type="dxa" w:w="2160"/>
          </w:tcPr>
          <w:p>
            <w:r>
              <w:rPr>
                <w:sz w:val="17"/>
              </w:rPr>
              <w:t>Lead magnet, Phase 1 demand driver, all top of funnel</w:t>
            </w:r>
          </w:p>
        </w:tc>
      </w:tr>
      <w:tr>
        <w:tc>
          <w:tcPr>
            <w:tcW w:type="dxa" w:w="2160"/>
          </w:tcPr>
          <w:p>
            <w:r>
              <w:rPr>
                <w:sz w:val="17"/>
              </w:rPr>
              <w:t>2</w:t>
            </w:r>
          </w:p>
        </w:tc>
        <w:tc>
          <w:tcPr>
            <w:tcW w:type="dxa" w:w="2160"/>
          </w:tcPr>
          <w:p>
            <w:r>
              <w:rPr>
                <w:sz w:val="17"/>
              </w:rPr>
              <w:t>The research describes buyers that Track B members do not sell to</w:t>
            </w:r>
          </w:p>
        </w:tc>
        <w:tc>
          <w:tcPr>
            <w:tcW w:type="dxa" w:w="2160"/>
          </w:tcPr>
          <w:p>
            <w:r>
              <w:rPr>
                <w:sz w:val="17"/>
              </w:rPr>
              <w:t>Highest</w:t>
            </w:r>
          </w:p>
        </w:tc>
        <w:tc>
          <w:tcPr>
            <w:tcW w:type="dxa" w:w="2160"/>
          </w:tcPr>
          <w:p>
            <w:r>
              <w:rPr>
                <w:sz w:val="17"/>
              </w:rPr>
              <w:t>Track B curriculum, ICP, positioning</w:t>
            </w:r>
          </w:p>
        </w:tc>
      </w:tr>
      <w:tr>
        <w:tc>
          <w:tcPr>
            <w:tcW w:type="dxa" w:w="2160"/>
          </w:tcPr>
          <w:p>
            <w:r>
              <w:rPr>
                <w:sz w:val="17"/>
              </w:rPr>
              <w:t>3</w:t>
            </w:r>
          </w:p>
        </w:tc>
        <w:tc>
          <w:tcPr>
            <w:tcW w:type="dxa" w:w="2160"/>
          </w:tcPr>
          <w:p>
            <w:r>
              <w:rPr>
                <w:sz w:val="17"/>
              </w:rPr>
              <w:t>"Capable but invisible" understates what is missing</w:t>
            </w:r>
          </w:p>
        </w:tc>
        <w:tc>
          <w:tcPr>
            <w:tcW w:type="dxa" w:w="2160"/>
          </w:tcPr>
          <w:p>
            <w:r>
              <w:rPr>
                <w:sz w:val="17"/>
              </w:rPr>
              <w:t>High</w:t>
            </w:r>
          </w:p>
        </w:tc>
        <w:tc>
          <w:tcPr>
            <w:tcW w:type="dxa" w:w="2160"/>
          </w:tcPr>
          <w:p>
            <w:r>
              <w:rPr>
                <w:sz w:val="17"/>
              </w:rPr>
              <w:t>Phase 3, Phase 6, the whole claim</w:t>
            </w:r>
          </w:p>
        </w:tc>
      </w:tr>
      <w:tr>
        <w:tc>
          <w:tcPr>
            <w:tcW w:type="dxa" w:w="2160"/>
          </w:tcPr>
          <w:p>
            <w:r>
              <w:rPr>
                <w:sz w:val="17"/>
              </w:rPr>
              <w:t>4</w:t>
            </w:r>
          </w:p>
        </w:tc>
        <w:tc>
          <w:tcPr>
            <w:tcW w:type="dxa" w:w="2160"/>
          </w:tcPr>
          <w:p>
            <w:r>
              <w:rPr>
                <w:sz w:val="17"/>
              </w:rPr>
              <w:t>Canada may be harder, not easier, than the United States</w:t>
            </w:r>
          </w:p>
        </w:tc>
        <w:tc>
          <w:tcPr>
            <w:tcW w:type="dxa" w:w="2160"/>
          </w:tcPr>
          <w:p>
            <w:r>
              <w:rPr>
                <w:sz w:val="17"/>
              </w:rPr>
              <w:t>Medium</w:t>
            </w:r>
          </w:p>
        </w:tc>
        <w:tc>
          <w:tcPr>
            <w:tcW w:type="dxa" w:w="2160"/>
          </w:tcPr>
          <w:p>
            <w:r>
              <w:rPr>
                <w:sz w:val="17"/>
              </w:rPr>
              <w:t>Brief section 1, Track A market sequencing</w:t>
            </w:r>
          </w:p>
        </w:tc>
      </w:tr>
      <w:tr>
        <w:tc>
          <w:tcPr>
            <w:tcW w:type="dxa" w:w="2160"/>
          </w:tcPr>
          <w:p>
            <w:r>
              <w:rPr>
                <w:sz w:val="17"/>
              </w:rPr>
              <w:t>5</w:t>
            </w:r>
          </w:p>
        </w:tc>
        <w:tc>
          <w:tcPr>
            <w:tcW w:type="dxa" w:w="2160"/>
          </w:tcPr>
          <w:p>
            <w:r>
              <w:rPr>
                <w:sz w:val="17"/>
              </w:rPr>
              <w:t>Arab Tech Export fails its own proof test</w:t>
            </w:r>
          </w:p>
        </w:tc>
        <w:tc>
          <w:tcPr>
            <w:tcW w:type="dxa" w:w="2160"/>
          </w:tcPr>
          <w:p>
            <w:r>
              <w:rPr>
                <w:sz w:val="17"/>
              </w:rPr>
              <w:t>Medium</w:t>
            </w:r>
          </w:p>
        </w:tc>
        <w:tc>
          <w:tcPr>
            <w:tcW w:type="dxa" w:w="2160"/>
          </w:tcPr>
          <w:p>
            <w:r>
              <w:rPr>
                <w:sz w:val="17"/>
              </w:rPr>
              <w:t>Phase 6, Phase 5 founding cohort</w:t>
            </w:r>
          </w:p>
        </w:tc>
      </w:tr>
      <w:tr>
        <w:tc>
          <w:tcPr>
            <w:tcW w:type="dxa" w:w="2160"/>
          </w:tcPr>
          <w:p>
            <w:r>
              <w:rPr>
                <w:sz w:val="17"/>
              </w:rPr>
              <w:t>6</w:t>
            </w:r>
          </w:p>
        </w:tc>
        <w:tc>
          <w:tcPr>
            <w:tcW w:type="dxa" w:w="2160"/>
          </w:tcPr>
          <w:p>
            <w:r>
              <w:rPr>
                <w:sz w:val="17"/>
              </w:rPr>
              <w:t>Insurance may be a hard blocker nobody has checked</w:t>
            </w:r>
          </w:p>
        </w:tc>
        <w:tc>
          <w:tcPr>
            <w:tcW w:type="dxa" w:w="2160"/>
          </w:tcPr>
          <w:p>
            <w:r>
              <w:rPr>
                <w:sz w:val="17"/>
              </w:rPr>
              <w:t>Medium</w:t>
            </w:r>
          </w:p>
        </w:tc>
        <w:tc>
          <w:tcPr>
            <w:tcW w:type="dxa" w:w="2160"/>
          </w:tcPr>
          <w:p>
            <w:r>
              <w:rPr>
                <w:sz w:val="17"/>
              </w:rPr>
              <w:t>Curriculum scope, honesty of the promise</w:t>
            </w:r>
          </w:p>
        </w:tc>
      </w:tr>
      <w:tr>
        <w:tc>
          <w:tcPr>
            <w:tcW w:type="dxa" w:w="2160"/>
          </w:tcPr>
          <w:p>
            <w:r>
              <w:rPr>
                <w:sz w:val="17"/>
              </w:rPr>
              <w:t>7</w:t>
            </w:r>
          </w:p>
        </w:tc>
        <w:tc>
          <w:tcPr>
            <w:tcW w:type="dxa" w:w="2160"/>
          </w:tcPr>
          <w:p>
            <w:r>
              <w:rPr>
                <w:sz w:val="17"/>
              </w:rPr>
              <w:t>Scorecard question 5 is vaguer than the real ladder</w:t>
            </w:r>
          </w:p>
        </w:tc>
        <w:tc>
          <w:tcPr>
            <w:tcW w:type="dxa" w:w="2160"/>
          </w:tcPr>
          <w:p>
            <w:r>
              <w:rPr>
                <w:sz w:val="17"/>
              </w:rPr>
              <w:t>Low</w:t>
            </w:r>
          </w:p>
        </w:tc>
        <w:tc>
          <w:tcPr>
            <w:tcW w:type="dxa" w:w="2160"/>
          </w:tcPr>
          <w:p>
            <w:r>
              <w:rPr>
                <w:sz w:val="17"/>
              </w:rPr>
              <w:t>Lead magnet</w:t>
            </w:r>
          </w:p>
        </w:tc>
      </w:tr>
      <w:tr>
        <w:tc>
          <w:tcPr>
            <w:tcW w:type="dxa" w:w="2160"/>
          </w:tcPr>
          <w:p>
            <w:r>
              <w:rPr>
                <w:sz w:val="17"/>
              </w:rPr>
              <w:t>8</w:t>
            </w:r>
          </w:p>
        </w:tc>
        <w:tc>
          <w:tcPr>
            <w:tcW w:type="dxa" w:w="2160"/>
          </w:tcPr>
          <w:p>
            <w:r>
              <w:rPr>
                <w:sz w:val="17"/>
              </w:rPr>
              <w:t>Publishable versus unpublishable numbers</w:t>
            </w:r>
          </w:p>
        </w:tc>
        <w:tc>
          <w:tcPr>
            <w:tcW w:type="dxa" w:w="2160"/>
          </w:tcPr>
          <w:p>
            <w:r>
              <w:rPr>
                <w:sz w:val="17"/>
              </w:rPr>
              <w:t>Low</w:t>
            </w:r>
          </w:p>
        </w:tc>
        <w:tc>
          <w:tcPr>
            <w:tcW w:type="dxa" w:w="2160"/>
          </w:tcPr>
          <w:p>
            <w:r>
              <w:rPr>
                <w:sz w:val="17"/>
              </w:rPr>
              <w:t>Every asset built from the research</w:t>
            </w:r>
          </w:p>
        </w:tc>
      </w:tr>
    </w:tbl>
    <w:p/>
    <w:p>
      <w:r>
        <w:t>---</w:t>
      </w:r>
    </w:p>
    <w:p>
      <w:pPr>
        <w:pStyle w:val="Heading2"/>
      </w:pPr>
      <w:r>
        <w:t>Conflict 1. The scorecard's six dimensions are not the buyer's six checks</w:t>
      </w:r>
    </w:p>
    <w:p>
      <w:r>
        <w:t>**Severity: high.** The scorecard is the entry point to the entire Track B funnel.</w:t>
      </w:r>
    </w:p>
    <w:p>
      <w:pPr>
        <w:pStyle w:val="Heading3"/>
      </w:pPr>
      <w:r>
        <w:t>What we have</w:t>
      </w:r>
    </w:p>
    <w:p>
      <w:r>
        <w:t>Invented from reasoning, not evidence: Legibility, Proof, Scope, Pricing frame, Contracting and payment, Follow-through.</w:t>
      </w:r>
    </w:p>
    <w:p>
      <w:pPr>
        <w:pStyle w:val="Heading3"/>
      </w:pPr>
      <w:r>
        <w:t>What the research says</w:t>
      </w:r>
    </w:p>
    <w:p>
      <w:r>
        <w:t>The buyer's actual verification sequence is intake, risk tiering, tax and sanctions documentation, security and privacy evidence, contracting, operational setup, go-live.</w:t>
      </w:r>
    </w:p>
    <w:p>
      <w:pPr>
        <w:pStyle w:val="Heading3"/>
      </w:pPr>
      <w:r>
        <w:t>The mismatch, item by item</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Our dimension</w:t>
            </w:r>
          </w:p>
        </w:tc>
        <w:tc>
          <w:tcPr>
            <w:tcW w:type="dxa" w:w="4320"/>
          </w:tcPr>
          <w:p>
            <w:r>
              <w:rPr>
                <w:b/>
                <w:sz w:val="17"/>
              </w:rPr>
              <w:t>Status against the research</w:t>
            </w:r>
          </w:p>
        </w:tc>
      </w:tr>
      <w:tr>
        <w:tc>
          <w:tcPr>
            <w:tcW w:type="dxa" w:w="4320"/>
          </w:tcPr>
          <w:p>
            <w:r>
              <w:rPr>
                <w:sz w:val="17"/>
              </w:rPr>
              <w:t>Legibility</w:t>
            </w:r>
          </w:p>
        </w:tc>
        <w:tc>
          <w:tcPr>
            <w:tcW w:type="dxa" w:w="4320"/>
          </w:tcPr>
          <w:p>
            <w:r>
              <w:rPr>
                <w:sz w:val="17"/>
              </w:rPr>
              <w:t>Survives. Supported by the soft-checks section</w:t>
            </w:r>
          </w:p>
        </w:tc>
      </w:tr>
      <w:tr>
        <w:tc>
          <w:tcPr>
            <w:tcW w:type="dxa" w:w="4320"/>
          </w:tcPr>
          <w:p>
            <w:r>
              <w:rPr>
                <w:sz w:val="17"/>
              </w:rPr>
              <w:t>Proof</w:t>
            </w:r>
          </w:p>
        </w:tc>
        <w:tc>
          <w:tcPr>
            <w:tcW w:type="dxa" w:w="4320"/>
          </w:tcPr>
          <w:p>
            <w:r>
              <w:rPr>
                <w:sz w:val="17"/>
              </w:rPr>
              <w:t>Survives and strengthens. Buyers want attributable evidence</w:t>
            </w:r>
          </w:p>
        </w:tc>
      </w:tr>
      <w:tr>
        <w:tc>
          <w:tcPr>
            <w:tcW w:type="dxa" w:w="4320"/>
          </w:tcPr>
          <w:p>
            <w:r>
              <w:rPr>
                <w:sz w:val="17"/>
              </w:rPr>
              <w:t>Scope</w:t>
            </w:r>
          </w:p>
        </w:tc>
        <w:tc>
          <w:tcPr>
            <w:tcW w:type="dxa" w:w="4320"/>
          </w:tcPr>
          <w:p>
            <w:r>
              <w:rPr>
                <w:sz w:val="17"/>
              </w:rPr>
              <w:t>Survives. Maps to SOW and contracting</w:t>
            </w:r>
          </w:p>
        </w:tc>
      </w:tr>
      <w:tr>
        <w:tc>
          <w:tcPr>
            <w:tcW w:type="dxa" w:w="4320"/>
          </w:tcPr>
          <w:p>
            <w:r>
              <w:rPr>
                <w:sz w:val="17"/>
              </w:rPr>
              <w:t>Pricing frame</w:t>
            </w:r>
          </w:p>
        </w:tc>
        <w:tc>
          <w:tcPr>
            <w:tcW w:type="dxa" w:w="4320"/>
          </w:tcPr>
          <w:p>
            <w:r>
              <w:rPr>
                <w:sz w:val="17"/>
              </w:rPr>
              <w:t>Does not appear anywhere in the buyer's verification sequence. It is a sales problem, not a buyer check</w:t>
            </w:r>
          </w:p>
        </w:tc>
      </w:tr>
      <w:tr>
        <w:tc>
          <w:tcPr>
            <w:tcW w:type="dxa" w:w="4320"/>
          </w:tcPr>
          <w:p>
            <w:r>
              <w:rPr>
                <w:sz w:val="17"/>
              </w:rPr>
              <w:t>Contracting and payment</w:t>
            </w:r>
          </w:p>
        </w:tc>
        <w:tc>
          <w:tcPr>
            <w:tcW w:type="dxa" w:w="4320"/>
          </w:tcPr>
          <w:p>
            <w:r>
              <w:rPr>
                <w:sz w:val="17"/>
              </w:rPr>
              <w:t>Survives, and was far too thin. Tax forms, MSA, DPA, insurance all sit here</w:t>
            </w:r>
          </w:p>
        </w:tc>
      </w:tr>
      <w:tr>
        <w:tc>
          <w:tcPr>
            <w:tcW w:type="dxa" w:w="4320"/>
          </w:tcPr>
          <w:p>
            <w:r>
              <w:rPr>
                <w:sz w:val="17"/>
              </w:rPr>
              <w:t>Follow-through</w:t>
            </w:r>
          </w:p>
        </w:tc>
        <w:tc>
          <w:tcPr>
            <w:tcW w:type="dxa" w:w="4320"/>
          </w:tcPr>
          <w:p>
            <w:r>
              <w:rPr>
                <w:sz w:val="17"/>
              </w:rPr>
              <w:t>Partly survives, now better explained as champion enablement</w:t>
            </w:r>
          </w:p>
        </w:tc>
      </w:tr>
      <w:tr>
        <w:tc>
          <w:tcPr>
            <w:tcW w:type="dxa" w:w="4320"/>
          </w:tcPr>
          <w:p>
            <w:r>
              <w:rPr>
                <w:sz w:val="17"/>
              </w:rPr>
              <w:t>Missing: security and privacy evidence</w:t>
            </w:r>
          </w:p>
        </w:tc>
        <w:tc>
          <w:tcPr>
            <w:tcW w:type="dxa" w:w="4320"/>
          </w:tcPr>
          <w:p>
            <w:r>
              <w:rPr>
                <w:sz w:val="17"/>
              </w:rPr>
              <w:t>The dominant gate for mid-market and enterprise. We had no dimension for it</w:t>
            </w:r>
          </w:p>
        </w:tc>
      </w:tr>
      <w:tr>
        <w:tc>
          <w:tcPr>
            <w:tcW w:type="dxa" w:w="4320"/>
          </w:tcPr>
          <w:p>
            <w:r>
              <w:rPr>
                <w:sz w:val="17"/>
              </w:rPr>
              <w:t>Missing: tax and sanctions documentation</w:t>
            </w:r>
          </w:p>
        </w:tc>
        <w:tc>
          <w:tcPr>
            <w:tcW w:type="dxa" w:w="4320"/>
          </w:tcPr>
          <w:p>
            <w:r>
              <w:rPr>
                <w:sz w:val="17"/>
              </w:rPr>
              <w:t>A hard payment gate carrying a 30 percent withholding consequence. We had no dimension for it</w:t>
            </w:r>
          </w:p>
        </w:tc>
      </w:tr>
      <w:tr>
        <w:tc>
          <w:tcPr>
            <w:tcW w:type="dxa" w:w="4320"/>
          </w:tcPr>
          <w:p>
            <w:r>
              <w:rPr>
                <w:sz w:val="17"/>
              </w:rPr>
              <w:t>Missing: insurance</w:t>
            </w:r>
          </w:p>
        </w:tc>
        <w:tc>
          <w:tcPr>
            <w:tcW w:type="dxa" w:w="4320"/>
          </w:tcPr>
          <w:p>
            <w:r>
              <w:rPr>
                <w:sz w:val="17"/>
              </w:rPr>
              <w:t>Commonly specified at USD 1,000,000 general liability and above. We had no dimension for it</w:t>
            </w:r>
          </w:p>
        </w:tc>
      </w:tr>
    </w:tbl>
    <w:p/>
    <w:p>
      <w:r>
        <w:t>So: four of six survive, one is wrong, and three major checks are absent.</w:t>
      </w:r>
    </w:p>
    <w:p>
      <w:pPr>
        <w:pStyle w:val="Heading3"/>
      </w:pPr>
      <w:r>
        <w:t>Why it cannot be patched quietly</w:t>
      </w:r>
    </w:p>
    <w:p>
      <w:r>
        <w:t>The six dimensions appear in the scorecard, in Phase 1's demand driver, in the result bands, in six variants of email 2, in Phase 6 drill 2, and on both decks. Changing them changes the top of the funnel everywhere.</w:t>
      </w:r>
    </w:p>
    <w:p>
      <w:pPr>
        <w:pStyle w:val="Heading3"/>
      </w:pPr>
      <w:r>
        <w:t>Options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Option</w:t>
            </w:r>
          </w:p>
        </w:tc>
        <w:tc>
          <w:tcPr>
            <w:tcW w:type="dxa" w:w="4320"/>
          </w:tcPr>
          <w:p>
            <w:r>
              <w:rPr>
                <w:b/>
                <w:sz w:val="17"/>
              </w:rPr>
              <w:t>Consequence</w:t>
            </w:r>
          </w:p>
        </w:tc>
      </w:tr>
      <w:tr>
        <w:tc>
          <w:tcPr>
            <w:tcW w:type="dxa" w:w="4320"/>
          </w:tcPr>
          <w:p>
            <w:r>
              <w:rPr>
                <w:sz w:val="17"/>
              </w:rPr>
              <w:t>A. Rebuild on the evidenced checks</w:t>
            </w:r>
          </w:p>
        </w:tc>
        <w:tc>
          <w:tcPr>
            <w:tcW w:type="dxa" w:w="4320"/>
          </w:tcPr>
          <w:p>
            <w:r>
              <w:rPr>
                <w:sz w:val="17"/>
              </w:rPr>
              <w:t>Scorecard becomes defensible and genuinely differentiated. Costs a rewrite of the lead magnet, Phase 1 Step 1.6, Phase 6 drill 2, and both decks. Risk: the evidenced checks skew enterprise, see conflict 2</w:t>
            </w:r>
          </w:p>
        </w:tc>
      </w:tr>
      <w:tr>
        <w:tc>
          <w:tcPr>
            <w:tcW w:type="dxa" w:w="4320"/>
          </w:tcPr>
          <w:p>
            <w:r>
              <w:rPr>
                <w:sz w:val="17"/>
              </w:rPr>
              <w:t>B. Keep six, swap Pricing frame for Security evidence</w:t>
            </w:r>
          </w:p>
        </w:tc>
        <w:tc>
          <w:tcPr>
            <w:tcW w:type="dxa" w:w="4320"/>
          </w:tcPr>
          <w:p>
            <w:r>
              <w:rPr>
                <w:sz w:val="17"/>
              </w:rPr>
              <w:t>Cheapest honest fix. Keeps the structure, removes the one dimension with no support, adds the biggest gate. Tax and insurance fold into Contracting and payment</w:t>
            </w:r>
          </w:p>
        </w:tc>
      </w:tr>
      <w:tr>
        <w:tc>
          <w:tcPr>
            <w:tcW w:type="dxa" w:w="4320"/>
          </w:tcPr>
          <w:p>
            <w:r>
              <w:rPr>
                <w:sz w:val="17"/>
              </w:rPr>
              <w:t>C. Two scorecards</w:t>
            </w:r>
          </w:p>
        </w:tc>
        <w:tc>
          <w:tcPr>
            <w:tcW w:type="dxa" w:w="4320"/>
          </w:tcPr>
          <w:p>
            <w:r>
              <w:rPr>
                <w:sz w:val="17"/>
              </w:rPr>
              <w:t>One for members selling small projects, one for members selling to mid-market and enterprise. Doubles the build and splits the funnel</w:t>
            </w:r>
          </w:p>
        </w:tc>
      </w:tr>
      <w:tr>
        <w:tc>
          <w:tcPr>
            <w:tcW w:type="dxa" w:w="4320"/>
          </w:tcPr>
          <w:p>
            <w:r>
              <w:rPr>
                <w:sz w:val="17"/>
              </w:rPr>
              <w:t>D. Keep as is</w:t>
            </w:r>
          </w:p>
        </w:tc>
        <w:tc>
          <w:tcPr>
            <w:tcW w:type="dxa" w:w="4320"/>
          </w:tcPr>
          <w:p>
            <w:r>
              <w:rPr>
                <w:sz w:val="17"/>
              </w:rPr>
              <w:t>Not recommended. Pricing frame is presented as something the buyer checks, and the research says it is not</w:t>
            </w:r>
          </w:p>
        </w:tc>
      </w:tr>
    </w:tbl>
    <w:p/>
    <w:p>
      <w:pPr>
        <w:pStyle w:val="Heading3"/>
      </w:pPr>
      <w:r>
        <w:t>Recommendation: B now, A later</w:t>
      </w:r>
    </w:p>
    <w:p>
      <w:r>
        <w:t>Swap Pricing frame for Security and compliance readiness. Expand Contracting and payment to name tax forms and insurance explicitly. That is a one-day change to the scorecard and it removes the only dimension actively contradicted by evidence.</w:t>
      </w:r>
    </w:p>
    <w:p>
      <w:r>
        <w:t>Pricing does not disappear from the business. It moves out of "what the buyer checks" and into the teaching, where it always belonged.</w:t>
      </w:r>
    </w:p>
    <w:p>
      <w:r>
        <w:t>Hold option A until conflict 2 is settled, because the answer there decides which checks are even relevant.</w:t>
      </w:r>
    </w:p>
    <w:p>
      <w:r>
        <w:t>---</w:t>
      </w:r>
    </w:p>
    <w:p>
      <w:pPr>
        <w:pStyle w:val="Heading2"/>
      </w:pPr>
      <w:r>
        <w:t>Conflict 2. The research describes buyers that Track B members do not sell to</w:t>
      </w:r>
    </w:p>
    <w:p>
      <w:r>
        <w:t>**Severity: highest.** This one reorganises both tracks and it is the reason to read this document before building anything.</w:t>
      </w:r>
    </w:p>
    <w:p>
      <w:pPr>
        <w:pStyle w:val="Heading3"/>
      </w:pPr>
      <w:r>
        <w:t>The problem</w:t>
      </w:r>
    </w:p>
    <w:p>
      <w:r>
        <w:t>The research is about vendor onboarding at buyers running formal procurement. The thresholds are explicit: under about $15,000 there is minimal formal procurement and 14 to 30 day cycles. Procurement, legal review and security questionnaires become normal above about $25,000.</w:t>
      </w:r>
    </w:p>
    <w:p>
      <w:r>
        <w:t>A solo Arab builder selling a $4,000 to $10,000 project to a North American startup meets almost none of this. No SOC 2 questionnaire. No DPA negotiation. No insurance certificate. Possibly not even a W-8BEN, if they are paid through a platform that collects it for them.</w:t>
      </w:r>
    </w:p>
    <w:p>
      <w:pPr>
        <w:pStyle w:val="Heading3"/>
      </w:pPr>
      <w:r>
        <w:t>What that means for each track</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Track</w:t>
            </w:r>
          </w:p>
        </w:tc>
        <w:tc>
          <w:tcPr>
            <w:tcW w:type="dxa" w:w="4320"/>
          </w:tcPr>
          <w:p>
            <w:r>
              <w:rPr>
                <w:b/>
                <w:sz w:val="17"/>
              </w:rPr>
              <w:t>Effect</w:t>
            </w:r>
          </w:p>
        </w:tc>
      </w:tr>
      <w:tr>
        <w:tc>
          <w:tcPr>
            <w:tcW w:type="dxa" w:w="4320"/>
          </w:tcPr>
          <w:p>
            <w:r>
              <w:rPr>
                <w:sz w:val="17"/>
              </w:rPr>
              <w:t>Track A, companies</w:t>
            </w:r>
          </w:p>
        </w:tc>
        <w:tc>
          <w:tcPr>
            <w:tcW w:type="dxa" w:w="4320"/>
          </w:tcPr>
          <w:p>
            <w:r>
              <w:rPr>
                <w:sz w:val="17"/>
              </w:rPr>
              <w:t>Strongly validated. Their clients sell at mid-market and enterprise deal sizes. Every gate in the research is real for them. The research is close to a product specification for Track A</w:t>
            </w:r>
          </w:p>
        </w:tc>
      </w:tr>
      <w:tr>
        <w:tc>
          <w:tcPr>
            <w:tcW w:type="dxa" w:w="4320"/>
          </w:tcPr>
          <w:p>
            <w:r>
              <w:rPr>
                <w:sz w:val="17"/>
              </w:rPr>
              <w:t>Track B, individuals</w:t>
            </w:r>
          </w:p>
        </w:tc>
        <w:tc>
          <w:tcPr>
            <w:tcW w:type="dxa" w:w="4320"/>
          </w:tcPr>
          <w:p>
            <w:r>
              <w:rPr>
                <w:sz w:val="17"/>
              </w:rPr>
              <w:t>Complicated. Much of the material applies only to members selling above roughly $25,000, which is the upper end of ICP Level 2 and above most of Level 1</w:t>
            </w:r>
          </w:p>
        </w:tc>
      </w:tr>
    </w:tbl>
    <w:p/>
    <w:p>
      <w:pPr>
        <w:pStyle w:val="Heading3"/>
      </w:pPr>
      <w:r>
        <w:t>The uncomfortable reading</w:t>
      </w:r>
    </w:p>
    <w:p>
      <w:r>
        <w:t>Phase 4 already concluded that Level 2 should be won first. This research sharpens that into something stronger and less comfortable: the differentiated content only becomes relevant at a deal size most of the addressable audience has not reached.</w:t>
      </w:r>
    </w:p>
    <w:p>
      <w:r>
        <w:t>Teach enterprise procurement to someone bidding $3,000 projects and they will find it irrelevant, which is a churn event inside the first fortnight that Phase 7 already identifies as the business's main risk.</w:t>
      </w:r>
    </w:p>
    <w:p>
      <w:pPr>
        <w:pStyle w:val="Heading3"/>
      </w:pPr>
      <w:r>
        <w:t>Options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Option</w:t>
            </w:r>
          </w:p>
        </w:tc>
        <w:tc>
          <w:tcPr>
            <w:tcW w:type="dxa" w:w="4320"/>
          </w:tcPr>
          <w:p>
            <w:r>
              <w:rPr>
                <w:b/>
                <w:sz w:val="17"/>
              </w:rPr>
              <w:t>Consequence</w:t>
            </w:r>
          </w:p>
        </w:tc>
      </w:tr>
      <w:tr>
        <w:tc>
          <w:tcPr>
            <w:tcW w:type="dxa" w:w="4320"/>
          </w:tcPr>
          <w:p>
            <w:r>
              <w:rPr>
                <w:sz w:val="17"/>
              </w:rPr>
              <w:t>A. Narrow Track B to members selling above $25,000</w:t>
            </w:r>
          </w:p>
        </w:tc>
        <w:tc>
          <w:tcPr>
            <w:tcW w:type="dxa" w:w="4320"/>
          </w:tcPr>
          <w:p>
            <w:r>
              <w:rPr>
                <w:sz w:val="17"/>
              </w:rPr>
              <w:t>The content fits perfectly. The audience shrinks a lot, and it is the audience least likely to need a community</w:t>
            </w:r>
          </w:p>
        </w:tc>
      </w:tr>
      <w:tr>
        <w:tc>
          <w:tcPr>
            <w:tcW w:type="dxa" w:w="4320"/>
          </w:tcPr>
          <w:p>
            <w:r>
              <w:rPr>
                <w:sz w:val="17"/>
              </w:rPr>
              <w:t>B. Two curriculum tiers inside one offer</w:t>
            </w:r>
          </w:p>
        </w:tc>
        <w:tc>
          <w:tcPr>
            <w:tcW w:type="dxa" w:w="4320"/>
          </w:tcPr>
          <w:p>
            <w:r>
              <w:rPr>
                <w:sz w:val="17"/>
              </w:rPr>
              <w:t>Small-deal track: legibility, scope, proposals, getting paid, W-8BEN. Large-deal track: the full gate set. Members move up as their deals grow. More build, and it makes the ladder the product</w:t>
            </w:r>
          </w:p>
        </w:tc>
      </w:tr>
      <w:tr>
        <w:tc>
          <w:tcPr>
            <w:tcW w:type="dxa" w:w="4320"/>
          </w:tcPr>
          <w:p>
            <w:r>
              <w:rPr>
                <w:sz w:val="17"/>
              </w:rPr>
              <w:t>C. Teach the ladder itself as the differentiator</w:t>
            </w:r>
          </w:p>
        </w:tc>
        <w:tc>
          <w:tcPr>
            <w:tcW w:type="dxa" w:w="4320"/>
          </w:tcPr>
          <w:p>
            <w:r>
              <w:rPr>
                <w:sz w:val="17"/>
              </w:rPr>
              <w:t>Position the offer as the route from small project work to contracts that clear procurement. The gates become the destination rather than the entry requirement. Keeps the wide audience and gives the content somewhere to go</w:t>
            </w:r>
          </w:p>
        </w:tc>
      </w:tr>
      <w:tr>
        <w:tc>
          <w:tcPr>
            <w:tcW w:type="dxa" w:w="4320"/>
          </w:tcPr>
          <w:p>
            <w:r>
              <w:rPr>
                <w:sz w:val="17"/>
              </w:rPr>
              <w:t>D. Keep Track B broad and generic</w:t>
            </w:r>
          </w:p>
        </w:tc>
        <w:tc>
          <w:tcPr>
            <w:tcW w:type="dxa" w:w="4320"/>
          </w:tcPr>
          <w:p>
            <w:r>
              <w:rPr>
                <w:sz w:val="17"/>
              </w:rPr>
              <w:t>Loses the differentiation, since the generic layer is what free content already covers</w:t>
            </w:r>
          </w:p>
        </w:tc>
      </w:tr>
    </w:tbl>
    <w:p/>
    <w:p>
      <w:pPr>
        <w:pStyle w:val="Heading3"/>
      </w:pPr>
      <w:r>
        <w:t>Recommendation: C</w:t>
      </w:r>
    </w:p>
    <w:p>
      <w:r>
        <w:t>It is the only option that keeps the audience wide, uses the research fully, and gives the offer a genuine progression rather than a flat curriculum. It also reframes the business in a way the claim constraints allow: the promise is about the kind of deal you can survive, not about money.</w:t>
      </w:r>
    </w:p>
    <w:p>
      <w:r>
        <w:t>It does change the positioning line. That needs your decision, not mine.</w:t>
      </w:r>
    </w:p>
    <w:p>
      <w:r>
        <w:t>**If C is chosen**, these change: Phase 3 all three statements, Phase 4 both ICP levels, Phase 1 service items, Phase 6 all three pillars, the scorecard, both decks. That is most of Track B. It is worth doing before launch and expensive after.</w:t>
      </w:r>
    </w:p>
    <w:p>
      <w:r>
        <w:t>---</w:t>
      </w:r>
    </w:p>
    <w:p>
      <w:pPr>
        <w:pStyle w:val="Heading2"/>
      </w:pPr>
      <w:r>
        <w:t>Conflict 3. "Capable but invisible" understates what is missing</w:t>
      </w:r>
    </w:p>
    <w:p>
      <w:r>
        <w:t>**Severity: high.** This is the core claim of the entire business.</w:t>
      </w:r>
    </w:p>
    <w:p>
      <w:pPr>
        <w:pStyle w:val="Heading3"/>
      </w:pPr>
      <w:r>
        <w:t>What we say</w:t>
      </w:r>
    </w:p>
    <w:p>
      <w:r>
        <w:t>Across Phase 3, Phase 6 and the scorecard: the capability is there, the builder is just illegible to a buyer who has never met them. The scorecard's low band opens by conceding capability on purpose.</w:t>
      </w:r>
    </w:p>
    <w:p>
      <w:pPr>
        <w:pStyle w:val="Heading3"/>
      </w:pPr>
      <w:r>
        <w:t>What the research says</w:t>
      </w:r>
    </w:p>
    <w:p>
      <w:r>
        <w:t>The four most common foreign-vendor gaps are security evidence, tax forms, documented insurance, and attributable proof assets. Three of those four are not legibility problems. They are infrastructure that costs money and time. SOC 2 Type II requires controls operating over 6 to 12 months. Insurance has a premium. These are not things a builder already has and merely fails to communicate.</w:t>
      </w:r>
    </w:p>
    <w:p>
      <w:pPr>
        <w:pStyle w:val="Heading3"/>
      </w:pPr>
      <w:r>
        <w:t>Why this matters more than it sounds</w:t>
      </w:r>
    </w:p>
    <w:p>
      <w:r>
        <w:t>The current framing implies the fix is presentational. Some of it is not, and a member who buys on the presentational promise and discovers they need a penetration test and a liability policy has been mis-sold, in a category with an existing trust problem.</w:t>
      </w:r>
    </w:p>
    <w:p>
      <w:pPr>
        <w:pStyle w:val="Heading3"/>
      </w:pPr>
      <w:r>
        <w:t>Options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Option</w:t>
            </w:r>
          </w:p>
        </w:tc>
        <w:tc>
          <w:tcPr>
            <w:tcW w:type="dxa" w:w="4320"/>
          </w:tcPr>
          <w:p>
            <w:r>
              <w:rPr>
                <w:b/>
                <w:sz w:val="17"/>
              </w:rPr>
              <w:t>Consequence</w:t>
            </w:r>
          </w:p>
        </w:tc>
      </w:tr>
      <w:tr>
        <w:tc>
          <w:tcPr>
            <w:tcW w:type="dxa" w:w="4320"/>
          </w:tcPr>
          <w:p>
            <w:r>
              <w:rPr>
                <w:sz w:val="17"/>
              </w:rPr>
              <w:t>A. Sharpen to "capable, and missing a specific set of things you have never been asked for"</w:t>
            </w:r>
          </w:p>
        </w:tc>
        <w:tc>
          <w:tcPr>
            <w:tcW w:type="dxa" w:w="4320"/>
          </w:tcPr>
          <w:p>
            <w:r>
              <w:rPr>
                <w:sz w:val="17"/>
              </w:rPr>
              <w:t>Still concedes capability, which the audience needs. Honest about cost. Slightly less clean as a line</w:t>
            </w:r>
          </w:p>
        </w:tc>
      </w:tr>
      <w:tr>
        <w:tc>
          <w:tcPr>
            <w:tcW w:type="dxa" w:w="4320"/>
          </w:tcPr>
          <w:p>
            <w:r>
              <w:rPr>
                <w:sz w:val="17"/>
              </w:rPr>
              <w:t>B. Split the promise</w:t>
            </w:r>
          </w:p>
        </w:tc>
        <w:tc>
          <w:tcPr>
            <w:tcW w:type="dxa" w:w="4320"/>
          </w:tcPr>
          <w:p>
            <w:r>
              <w:rPr>
                <w:sz w:val="17"/>
              </w:rPr>
              <w:t>"Some of this is how you present. Some of this you have to build. We tell you which is which." Arguably a stronger and more unusual promise</w:t>
            </w:r>
          </w:p>
        </w:tc>
      </w:tr>
      <w:tr>
        <w:tc>
          <w:tcPr>
            <w:tcW w:type="dxa" w:w="4320"/>
          </w:tcPr>
          <w:p>
            <w:r>
              <w:rPr>
                <w:sz w:val="17"/>
              </w:rPr>
              <w:t>C. Keep as is</w:t>
            </w:r>
          </w:p>
        </w:tc>
        <w:tc>
          <w:tcPr>
            <w:tcW w:type="dxa" w:w="4320"/>
          </w:tcPr>
          <w:p>
            <w:r>
              <w:rPr>
                <w:sz w:val="17"/>
              </w:rPr>
              <w:t>Not recommended. The gap between promise and delivery shows up at refund time</w:t>
            </w:r>
          </w:p>
        </w:tc>
      </w:tr>
    </w:tbl>
    <w:p/>
    <w:p>
      <w:pPr>
        <w:pStyle w:val="Heading3"/>
      </w:pPr>
      <w:r>
        <w:t>Recommendation: B</w:t>
      </w:r>
    </w:p>
    <w:p>
      <w:r>
        <w:t>Telling someone which of their gaps is free to fix and which costs money is a more credible offer than implying all of them are free. It also directly serves the buying committee's internal decision-maker, who Phase 5 found is the persona no amount of value-proposition copy reaches.</w:t>
      </w:r>
    </w:p>
    <w:p>
      <w:r>
        <w:t>---</w:t>
      </w:r>
    </w:p>
    <w:p>
      <w:pPr>
        <w:pStyle w:val="Heading2"/>
      </w:pPr>
      <w:r>
        <w:t>Conflict 4. Canada may be harder, not easier</w:t>
      </w:r>
    </w:p>
    <w:p>
      <w:r>
        <w:t>**Severity: medium.**</w:t>
      </w:r>
    </w:p>
    <w:p>
      <w:pPr>
        <w:pStyle w:val="Heading3"/>
      </w:pPr>
      <w:r>
        <w:t>What we say</w:t>
      </w:r>
    </w:p>
    <w:p>
      <w:r>
        <w:t>`GTM-BRIEF.md` section 1: "United States first, then Canada, then other markets with larger economics." Never evidenced, carried through every phase.</w:t>
      </w:r>
    </w:p>
    <w:p>
      <w:pPr>
        <w:pStyle w:val="Heading3"/>
      </w:pPr>
      <w:r>
        <w:t>What the research says</w:t>
      </w:r>
    </w:p>
    <w:p>
      <w:pPr>
        <w:pStyle w:val="ListBullet"/>
      </w:pPr>
      <w:r>
        <w:t>A federal Buy Canadian policy reportedly grants Canadian suppliers a 10 percent</w:t>
      </w:r>
    </w:p>
    <w:p>
      <w:r>
        <w:t>bid price reduction and 25 percent evaluation-score weight. That is a structural disadvantage for any foreign vendor in Canadian federal procurement.</w:t>
      </w:r>
    </w:p>
    <w:p>
      <w:pPr>
        <w:pStyle w:val="ListBullet"/>
      </w:pPr>
      <w:r>
        <w:t>Quebec French-language obligations are statutory, described as an engineering</w:t>
      </w:r>
    </w:p>
    <w:p>
      <w:r>
        <w:t>commitment rather than translation.</w:t>
      </w:r>
    </w:p>
    <w:p>
      <w:pPr>
        <w:pStyle w:val="ListBullet"/>
      </w:pPr>
      <w:r>
        <w:t>Canadian buyers scrutinise United States vendors over CLOUD Act exposure. A</w:t>
      </w:r>
    </w:p>
    <w:p>
      <w:r>
        <w:t>MENA vendor does not carry that particular risk, which is a small and real opening.</w:t>
      </w:r>
    </w:p>
    <w:p>
      <w:pPr>
        <w:pStyle w:val="Heading3"/>
      </w:pPr>
      <w:r>
        <w:t>The conflict</w:t>
      </w:r>
    </w:p>
    <w:p>
      <w:r>
        <w:t>Canada is presented in the brief as the easier second step. The evidence says it carries a procurement preference against foreign suppliers and a language requirement, alongside one advantage that applies specifically because the vendor is not American.</w:t>
      </w:r>
    </w:p>
    <w:p>
      <w:r>
        <w:t>Note the scope limit: Buy Canadian is a **public procurement** policy. Most Track B and Track A buyers are private sector. This is a real consideration and not necessarily a large one.</w:t>
      </w:r>
    </w:p>
    <w:p>
      <w:pPr>
        <w:pStyle w:val="Heading3"/>
      </w:pPr>
      <w:r>
        <w:t>Options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Option</w:t>
            </w:r>
          </w:p>
        </w:tc>
        <w:tc>
          <w:tcPr>
            <w:tcW w:type="dxa" w:w="4320"/>
          </w:tcPr>
          <w:p>
            <w:r>
              <w:rPr>
                <w:b/>
                <w:sz w:val="17"/>
              </w:rPr>
              <w:t>Consequence</w:t>
            </w:r>
          </w:p>
        </w:tc>
      </w:tr>
      <w:tr>
        <w:tc>
          <w:tcPr>
            <w:tcW w:type="dxa" w:w="4320"/>
          </w:tcPr>
          <w:p>
            <w:r>
              <w:rPr>
                <w:sz w:val="17"/>
              </w:rPr>
              <w:t>A. Keep the sequence, add the caveats to the curriculum</w:t>
            </w:r>
          </w:p>
        </w:tc>
        <w:tc>
          <w:tcPr>
            <w:tcW w:type="dxa" w:w="4320"/>
          </w:tcPr>
          <w:p>
            <w:r>
              <w:rPr>
                <w:sz w:val="17"/>
              </w:rPr>
              <w:t>Minimal change. Canada content gains Buy Canadian, Quebec French, and the CLOUD Act opening</w:t>
            </w:r>
          </w:p>
        </w:tc>
      </w:tr>
      <w:tr>
        <w:tc>
          <w:tcPr>
            <w:tcW w:type="dxa" w:w="4320"/>
          </w:tcPr>
          <w:p>
            <w:r>
              <w:rPr>
                <w:sz w:val="17"/>
              </w:rPr>
              <w:t>B. Reweight to United States only for launch</w:t>
            </w:r>
          </w:p>
        </w:tc>
        <w:tc>
          <w:tcPr>
            <w:tcW w:type="dxa" w:w="4320"/>
          </w:tcPr>
          <w:p>
            <w:r>
              <w:rPr>
                <w:sz w:val="17"/>
              </w:rPr>
              <w:t>Simplifies everything. Loses a market named in the brief and in the one-liner</w:t>
            </w:r>
          </w:p>
        </w:tc>
      </w:tr>
      <w:tr>
        <w:tc>
          <w:tcPr>
            <w:tcW w:type="dxa" w:w="4320"/>
          </w:tcPr>
          <w:p>
            <w:r>
              <w:rPr>
                <w:sz w:val="17"/>
              </w:rPr>
              <w:t>C. Treat Canada as a distinct module</w:t>
            </w:r>
          </w:p>
        </w:tc>
        <w:tc>
          <w:tcPr>
            <w:tcW w:type="dxa" w:w="4320"/>
          </w:tcPr>
          <w:p>
            <w:r>
              <w:rPr>
                <w:sz w:val="17"/>
              </w:rPr>
              <w:t>Most accurate. Costs a second body of market content</w:t>
            </w:r>
          </w:p>
        </w:tc>
      </w:tr>
    </w:tbl>
    <w:p/>
    <w:p>
      <w:pPr>
        <w:pStyle w:val="Heading3"/>
      </w:pPr>
      <w:r>
        <w:t>Recommendation: A, and mark the sequencing as a founder decision</w:t>
      </w:r>
    </w:p>
    <w:p>
      <w:r>
        <w:t>The evidence does not justify dropping Canada. It does justify removing the assumption that Canada is simply the United States with less competition.</w:t>
      </w:r>
    </w:p>
    <w:p>
      <w:r>
        <w:t>---</w:t>
      </w:r>
    </w:p>
    <w:p>
      <w:pPr>
        <w:pStyle w:val="Heading2"/>
      </w:pPr>
      <w:r>
        <w:t>Conflict 5. Arab Tech Export fails its own proof test</w:t>
      </w:r>
    </w:p>
    <w:p>
      <w:r>
        <w:t>**Severity: medium, and it is the most interesting one.**</w:t>
      </w:r>
    </w:p>
    <w:p>
      <w:pPr>
        <w:pStyle w:val="Heading3"/>
      </w:pPr>
      <w:r>
        <w:t>The collision</w:t>
      </w:r>
    </w:p>
    <w:p>
      <w:r>
        <w:t>The research says buyers discount logo walls and generic testimonials, and want attributable case studies with named customers, identifiable job titles and specific use cases.</w:t>
      </w:r>
    </w:p>
    <w:p>
      <w:r>
        <w:t>Arab Tech Export has no customers, no case studies and no references. It will teach members to build exactly the proof assets it does not itself have, to an audience that can see the website.</w:t>
      </w:r>
    </w:p>
    <w:p>
      <w:pPr>
        <w:pStyle w:val="Heading3"/>
      </w:pPr>
      <w:r>
        <w:t>The good half</w:t>
      </w:r>
    </w:p>
    <w:p>
      <w:r>
        <w:t>The finding partly **validates** the brief's ban on testimonials. Generic social proof is weak evidence anyway. The eighteen blocked fields in Phase 6 are not only an ethical constraint, they are avoiding a weak asset class.</w:t>
      </w:r>
    </w:p>
    <w:p>
      <w:pPr>
        <w:pStyle w:val="Heading3"/>
      </w:pPr>
      <w:r>
        <w:t>The hard half</w:t>
      </w:r>
    </w:p>
    <w:p>
      <w:r>
        <w:t>What buyers actually value, specific and attributable, is precisely what a pre-launch business cannot produce. Phase 2 scored credibility at 1.8 out of 10 and this is why.</w:t>
      </w:r>
    </w:p>
    <w:p>
      <w:pPr>
        <w:pStyle w:val="Heading3"/>
      </w:pPr>
      <w:r>
        <w:t>Options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Option</w:t>
            </w:r>
          </w:p>
        </w:tc>
        <w:tc>
          <w:tcPr>
            <w:tcW w:type="dxa" w:w="4320"/>
          </w:tcPr>
          <w:p>
            <w:r>
              <w:rPr>
                <w:b/>
                <w:sz w:val="17"/>
              </w:rPr>
              <w:t>Consequence</w:t>
            </w:r>
          </w:p>
        </w:tc>
      </w:tr>
      <w:tr>
        <w:tc>
          <w:tcPr>
            <w:tcW w:type="dxa" w:w="4320"/>
          </w:tcPr>
          <w:p>
            <w:r>
              <w:rPr>
                <w:sz w:val="17"/>
              </w:rPr>
              <w:t>A. Make the absence explicit and early</w:t>
            </w:r>
          </w:p>
        </w:tc>
        <w:tc>
          <w:tcPr>
            <w:tcW w:type="dxa" w:w="4320"/>
          </w:tcPr>
          <w:p>
            <w:r>
              <w:rPr>
                <w:sz w:val="17"/>
              </w:rPr>
              <w:t>State plainly that there are no results yet and explain what stands in place of them. Unusual, and it matches what the audience already suspects</w:t>
            </w:r>
          </w:p>
        </w:tc>
      </w:tr>
      <w:tr>
        <w:tc>
          <w:tcPr>
            <w:tcW w:type="dxa" w:w="4320"/>
          </w:tcPr>
          <w:p>
            <w:r>
              <w:rPr>
                <w:sz w:val="17"/>
              </w:rPr>
              <w:t>B. Make the founding cohort a proof-manufacturing programme</w:t>
            </w:r>
          </w:p>
        </w:tc>
        <w:tc>
          <w:tcPr>
            <w:tcW w:type="dxa" w:w="4320"/>
          </w:tcPr>
          <w:p>
            <w:r>
              <w:rPr>
                <w:sz w:val="17"/>
              </w:rPr>
              <w:t>Design the first cohort so attributable case studies are a contractual output, with permission agreed at joining. Phase 5 already recommends this for Track A</w:t>
            </w:r>
          </w:p>
        </w:tc>
      </w:tr>
      <w:tr>
        <w:tc>
          <w:tcPr>
            <w:tcW w:type="dxa" w:w="4320"/>
          </w:tcPr>
          <w:p>
            <w:r>
              <w:rPr>
                <w:sz w:val="17"/>
              </w:rPr>
              <w:t>C. Both</w:t>
            </w:r>
          </w:p>
        </w:tc>
        <w:tc>
          <w:tcPr>
            <w:tcW w:type="dxa" w:w="4320"/>
          </w:tcPr>
          <w:p>
            <w:r>
              <w:rPr>
                <w:sz w:val="17"/>
              </w:rPr>
              <w:t>Recommended</w:t>
            </w:r>
          </w:p>
        </w:tc>
      </w:tr>
    </w:tbl>
    <w:p/>
    <w:p>
      <w:pPr>
        <w:pStyle w:val="Heading3"/>
      </w:pPr>
      <w:r>
        <w:t>Recommendation: C</w:t>
      </w:r>
    </w:p>
    <w:p>
      <w:r>
        <w:t>A is free and buys credibility with a sceptical audience. B turns the founding cohort from a launch tactic into the only available proof-generation mechanism. Phase 5 Step 5.2's success metrics already include quotable permission. This makes it the point rather than a side effect.</w:t>
      </w:r>
    </w:p>
    <w:p>
      <w:r>
        <w:t>---</w:t>
      </w:r>
    </w:p>
    <w:p>
      <w:pPr>
        <w:pStyle w:val="Heading2"/>
      </w:pPr>
      <w:r>
        <w:t>Conflict 6. Insurance may be a hard blocker nobody has checked</w:t>
      </w:r>
    </w:p>
    <w:p>
      <w:r>
        <w:t>**Severity: medium. This is a gap, not a contradiction, and it could be expensive.**</w:t>
      </w:r>
    </w:p>
    <w:p>
      <w:r>
        <w:t>The research says buyers commonly specify general liability at USD 1,000,000 per occurrence or above, plus errors and omissions and cyber liability, with a certificate requested at onboarding.</w:t>
      </w:r>
    </w:p>
    <w:p>
      <w:r>
        <w:t>**Nobody has checked whether a solo builder or small firm in Egypt, Jordan, Morocco, Saudi Arabia or the United Arab Emirates can obtain policies a North American buyer will accept.** If they largely cannot, then one of the four most common foreign-vendor gaps is not closeable by anything this business teaches.</w:t>
      </w:r>
    </w:p>
    <w:p>
      <w:pPr>
        <w:pStyle w:val="Heading3"/>
      </w:pPr>
      <w:r>
        <w:t>Options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Option</w:t>
            </w:r>
          </w:p>
        </w:tc>
        <w:tc>
          <w:tcPr>
            <w:tcW w:type="dxa" w:w="4320"/>
          </w:tcPr>
          <w:p>
            <w:r>
              <w:rPr>
                <w:b/>
                <w:sz w:val="17"/>
              </w:rPr>
              <w:t>Consequence</w:t>
            </w:r>
          </w:p>
        </w:tc>
      </w:tr>
      <w:tr>
        <w:tc>
          <w:tcPr>
            <w:tcW w:type="dxa" w:w="4320"/>
          </w:tcPr>
          <w:p>
            <w:r>
              <w:rPr>
                <w:sz w:val="17"/>
              </w:rPr>
              <w:t>A. Research it before teaching it</w:t>
            </w:r>
          </w:p>
        </w:tc>
        <w:tc>
          <w:tcPr>
            <w:tcW w:type="dxa" w:w="4320"/>
          </w:tcPr>
          <w:p>
            <w:r>
              <w:rPr>
                <w:sz w:val="17"/>
              </w:rPr>
              <w:t>Add as Block 11 of the supplementary research. Cheap, and it decides whether this is curriculum or a dead end</w:t>
            </w:r>
          </w:p>
        </w:tc>
      </w:tr>
      <w:tr>
        <w:tc>
          <w:tcPr>
            <w:tcW w:type="dxa" w:w="4320"/>
          </w:tcPr>
          <w:p>
            <w:r>
              <w:rPr>
                <w:sz w:val="17"/>
              </w:rPr>
              <w:t>B. Teach it as a known constraint</w:t>
            </w:r>
          </w:p>
        </w:tc>
        <w:tc>
          <w:tcPr>
            <w:tcW w:type="dxa" w:w="4320"/>
          </w:tcPr>
          <w:p>
            <w:r>
              <w:rPr>
                <w:sz w:val="17"/>
              </w:rPr>
              <w:t>Honest, and leaves the member without a route through</w:t>
            </w:r>
          </w:p>
        </w:tc>
      </w:tr>
      <w:tr>
        <w:tc>
          <w:tcPr>
            <w:tcW w:type="dxa" w:w="4320"/>
          </w:tcPr>
          <w:p>
            <w:r>
              <w:rPr>
                <w:sz w:val="17"/>
              </w:rPr>
              <w:t>C. Leave it out</w:t>
            </w:r>
          </w:p>
        </w:tc>
        <w:tc>
          <w:tcPr>
            <w:tcW w:type="dxa" w:w="4320"/>
          </w:tcPr>
          <w:p>
            <w:r>
              <w:rPr>
                <w:sz w:val="17"/>
              </w:rPr>
              <w:t>Not recommended. It appears in the buyer's checklist whether or not we mention it</w:t>
            </w:r>
          </w:p>
        </w:tc>
      </w:tr>
    </w:tbl>
    <w:p/>
    <w:p>
      <w:pPr>
        <w:pStyle w:val="Heading3"/>
      </w:pPr>
      <w:r>
        <w:t>Recommendation: A, and it is the highest-value single research question left</w:t>
      </w:r>
    </w:p>
    <w:p>
      <w:r>
        <w:t>If the answer is that insurance is obtainable, it becomes a strong and unusual piece of curriculum. If it is not, that changes which deals members can realistically win and belongs in the ICP.</w:t>
      </w:r>
    </w:p>
    <w:p>
      <w:r>
        <w:t>---</w:t>
      </w:r>
    </w:p>
    <w:p>
      <w:pPr>
        <w:pStyle w:val="Heading2"/>
      </w:pPr>
      <w:r>
        <w:t>Conflict 7. Scorecard question 5 is vaguer than the real ladder</w:t>
      </w:r>
    </w:p>
    <w:p>
      <w:r>
        <w:t>**Severity: low. Mechanical.**</w:t>
      </w:r>
    </w:p>
    <w:p>
      <w:r>
        <w:t>Current answer options for "If a buyer said yes today, what would happen next" end at "I have done it with a buyer in that country before."</w:t>
      </w:r>
    </w:p>
    <w:p>
      <w:r>
        <w:t>The research gives a precise ladder: a valid W-8BEN or W-8BEN-E on file, an MSA or contract template ready, a working payment route, insurance certificates available, a security page or equivalent evidence.</w:t>
      </w:r>
    </w:p>
    <w:p>
      <w:r>
        <w:t>**Recommendation:** replace the options with the evidenced ladder. It makes the question diagnostic rather than impressionistic, and it sets up the email 2 variant for that dimension. Small change, clear improvement. Folded into whatever is decided for conflict 1.</w:t>
      </w:r>
    </w:p>
    <w:p>
      <w:r>
        <w:t>---</w:t>
      </w:r>
    </w:p>
    <w:p>
      <w:pPr>
        <w:pStyle w:val="Heading2"/>
      </w:pPr>
      <w:r>
        <w:t>Conflict 8. Publishable versus unpublishable numbers</w:t>
      </w:r>
    </w:p>
    <w:p>
      <w:r>
        <w:t>**Severity: low, and it applies to everything built from this research.**</w:t>
      </w:r>
    </w:p>
    <w:p>
      <w:r>
        <w:t>The tax, sanctions and Canadian procurement findings are primary-sourced and citable. The thresholds, cycle times and percentages come from vendor blogs, content marketing and aggregators.</w:t>
      </w:r>
    </w:p>
    <w:p>
      <w:r>
        <w:t>The most quotable number in the report, 78 percent of enterprise clients requiring SOC 2 Type II, comes from a compliance vendor that sells SOC 2 readiness services.</w:t>
      </w:r>
    </w:p>
    <w:p>
      <w:r>
        <w:t>**Recommendation:** publish the mechanism, cite the primary source where one exists, describe secondary figures as commonly reported rather than as measured fact, and keep the 78 percent figure out of any customer-facing asset. Teach that enterprise buyers usually expect Type II. Do not put a decimal point on it.</w:t>
      </w:r>
    </w:p>
    <w:p>
      <w:r>
        <w:t>This is consistent with the discipline the brief already imposes on claims. It is the same rule applied to borrowed statistics rather than to our own.</w:t>
      </w:r>
    </w:p>
    <w:p>
      <w:r>
        <w:t>---</w:t>
      </w:r>
    </w:p>
    <w:p>
      <w:pPr>
        <w:pStyle w:val="Heading2"/>
      </w:pPr>
      <w:r>
        <w:t>Already fixed, no decision needed</w:t>
      </w:r>
    </w:p>
    <w:p>
      <w:r>
        <w:t>One item was a defect rather than a judgement call and has been corrected.</w:t>
      </w:r>
    </w:p>
    <w:p>
      <w:r>
        <w:t>**Phase 6, Track B, drill 3 body copy** read: "Your proposal is read in about two minutes by someone comparing you to three others." Both the two minutes and the three others were invented during the original run. No source supports either, and `GTM-BRIEF.md` section 5 rules out exactly this.</w:t>
      </w:r>
    </w:p>
    <w:p>
      <w:r>
        <w:t>Replaced with a claim the research does support, about the proposal being forwarded to people who never attended the call.</w:t>
      </w:r>
    </w:p>
    <w:p>
      <w:r>
        <w:t>---</w:t>
      </w:r>
    </w:p>
    <w:p>
      <w:pPr>
        <w:pStyle w:val="Heading2"/>
      </w:pPr>
      <w:r>
        <w:t>What to decide, in order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Order</w:t>
            </w:r>
          </w:p>
        </w:tc>
        <w:tc>
          <w:tcPr>
            <w:tcW w:type="dxa" w:w="2880"/>
          </w:tcPr>
          <w:p>
            <w:r>
              <w:rPr>
                <w:b/>
                <w:sz w:val="17"/>
              </w:rPr>
              <w:t>Conflict</w:t>
            </w:r>
          </w:p>
        </w:tc>
        <w:tc>
          <w:tcPr>
            <w:tcW w:type="dxa" w:w="2880"/>
          </w:tcPr>
          <w:p>
            <w:r>
              <w:rPr>
                <w:b/>
                <w:sz w:val="17"/>
              </w:rPr>
              <w:t>Why this order</w:t>
            </w:r>
          </w:p>
        </w:tc>
      </w:tr>
      <w:tr>
        <w:tc>
          <w:tcPr>
            <w:tcW w:type="dxa" w:w="2880"/>
          </w:tcPr>
          <w:p>
            <w:r>
              <w:rPr>
                <w:sz w:val="17"/>
              </w:rPr>
              <w:t>1</w:t>
            </w:r>
          </w:p>
        </w:tc>
        <w:tc>
          <w:tcPr>
            <w:tcW w:type="dxa" w:w="2880"/>
          </w:tcPr>
          <w:p>
            <w:r>
              <w:rPr>
                <w:sz w:val="17"/>
              </w:rPr>
              <w:t>Conflict 2, who Track B is for</w:t>
            </w:r>
          </w:p>
        </w:tc>
        <w:tc>
          <w:tcPr>
            <w:tcW w:type="dxa" w:w="2880"/>
          </w:tcPr>
          <w:p>
            <w:r>
              <w:rPr>
                <w:sz w:val="17"/>
              </w:rPr>
              <w:t>Everything else depends on it. Conflict 1's answer changes depending on it</w:t>
            </w:r>
          </w:p>
        </w:tc>
      </w:tr>
      <w:tr>
        <w:tc>
          <w:tcPr>
            <w:tcW w:type="dxa" w:w="2880"/>
          </w:tcPr>
          <w:p>
            <w:r>
              <w:rPr>
                <w:sz w:val="17"/>
              </w:rPr>
              <w:t>2</w:t>
            </w:r>
          </w:p>
        </w:tc>
        <w:tc>
          <w:tcPr>
            <w:tcW w:type="dxa" w:w="2880"/>
          </w:tcPr>
          <w:p>
            <w:r>
              <w:rPr>
                <w:sz w:val="17"/>
              </w:rPr>
              <w:t>Conflict 3, the core claim</w:t>
            </w:r>
          </w:p>
        </w:tc>
        <w:tc>
          <w:tcPr>
            <w:tcW w:type="dxa" w:w="2880"/>
          </w:tcPr>
          <w:p>
            <w:r>
              <w:rPr>
                <w:sz w:val="17"/>
              </w:rPr>
              <w:t>Follows directly from 2, and it is the positioning</w:t>
            </w:r>
          </w:p>
        </w:tc>
      </w:tr>
      <w:tr>
        <w:tc>
          <w:tcPr>
            <w:tcW w:type="dxa" w:w="2880"/>
          </w:tcPr>
          <w:p>
            <w:r>
              <w:rPr>
                <w:sz w:val="17"/>
              </w:rPr>
              <w:t>3</w:t>
            </w:r>
          </w:p>
        </w:tc>
        <w:tc>
          <w:tcPr>
            <w:tcW w:type="dxa" w:w="2880"/>
          </w:tcPr>
          <w:p>
            <w:r>
              <w:rPr>
                <w:sz w:val="17"/>
              </w:rPr>
              <w:t>Conflict 6, commission the insurance research</w:t>
            </w:r>
          </w:p>
        </w:tc>
        <w:tc>
          <w:tcPr>
            <w:tcW w:type="dxa" w:w="2880"/>
          </w:tcPr>
          <w:p>
            <w:r>
              <w:rPr>
                <w:sz w:val="17"/>
              </w:rPr>
              <w:t>Independent of the others and has a long lead time. Start it now</w:t>
            </w:r>
          </w:p>
        </w:tc>
      </w:tr>
      <w:tr>
        <w:tc>
          <w:tcPr>
            <w:tcW w:type="dxa" w:w="2880"/>
          </w:tcPr>
          <w:p>
            <w:r>
              <w:rPr>
                <w:sz w:val="17"/>
              </w:rPr>
              <w:t>4</w:t>
            </w:r>
          </w:p>
        </w:tc>
        <w:tc>
          <w:tcPr>
            <w:tcW w:type="dxa" w:w="2880"/>
          </w:tcPr>
          <w:p>
            <w:r>
              <w:rPr>
                <w:sz w:val="17"/>
              </w:rPr>
              <w:t>Conflict 1, the scorecard dimensions</w:t>
            </w:r>
          </w:p>
        </w:tc>
        <w:tc>
          <w:tcPr>
            <w:tcW w:type="dxa" w:w="2880"/>
          </w:tcPr>
          <w:p>
            <w:r>
              <w:rPr>
                <w:sz w:val="17"/>
              </w:rPr>
              <w:t>Resolvable once 2 is settled</w:t>
            </w:r>
          </w:p>
        </w:tc>
      </w:tr>
      <w:tr>
        <w:tc>
          <w:tcPr>
            <w:tcW w:type="dxa" w:w="2880"/>
          </w:tcPr>
          <w:p>
            <w:r>
              <w:rPr>
                <w:sz w:val="17"/>
              </w:rPr>
              <w:t>5</w:t>
            </w:r>
          </w:p>
        </w:tc>
        <w:tc>
          <w:tcPr>
            <w:tcW w:type="dxa" w:w="2880"/>
          </w:tcPr>
          <w:p>
            <w:r>
              <w:rPr>
                <w:sz w:val="17"/>
              </w:rPr>
              <w:t>Conflict 5, proof strategy</w:t>
            </w:r>
          </w:p>
        </w:tc>
        <w:tc>
          <w:tcPr>
            <w:tcW w:type="dxa" w:w="2880"/>
          </w:tcPr>
          <w:p>
            <w:r>
              <w:rPr>
                <w:sz w:val="17"/>
              </w:rPr>
              <w:t>Cheap, and it improves the founding cohort design either way</w:t>
            </w:r>
          </w:p>
        </w:tc>
      </w:tr>
      <w:tr>
        <w:tc>
          <w:tcPr>
            <w:tcW w:type="dxa" w:w="2880"/>
          </w:tcPr>
          <w:p>
            <w:r>
              <w:rPr>
                <w:sz w:val="17"/>
              </w:rPr>
              <w:t>6</w:t>
            </w:r>
          </w:p>
        </w:tc>
        <w:tc>
          <w:tcPr>
            <w:tcW w:type="dxa" w:w="2880"/>
          </w:tcPr>
          <w:p>
            <w:r>
              <w:rPr>
                <w:sz w:val="17"/>
              </w:rPr>
              <w:t>Conflict 4, Canada</w:t>
            </w:r>
          </w:p>
        </w:tc>
        <w:tc>
          <w:tcPr>
            <w:tcW w:type="dxa" w:w="2880"/>
          </w:tcPr>
          <w:p>
            <w:r>
              <w:rPr>
                <w:sz w:val="17"/>
              </w:rPr>
              <w:t>Affects curriculum detail rather than structure</w:t>
            </w:r>
          </w:p>
        </w:tc>
      </w:tr>
      <w:tr>
        <w:tc>
          <w:tcPr>
            <w:tcW w:type="dxa" w:w="2880"/>
          </w:tcPr>
          <w:p>
            <w:r>
              <w:rPr>
                <w:sz w:val="17"/>
              </w:rPr>
              <w:t>7</w:t>
            </w:r>
          </w:p>
        </w:tc>
        <w:tc>
          <w:tcPr>
            <w:tcW w:type="dxa" w:w="2880"/>
          </w:tcPr>
          <w:p>
            <w:r>
              <w:rPr>
                <w:sz w:val="17"/>
              </w:rPr>
              <w:t>Conflicts 7 and 8</w:t>
            </w:r>
          </w:p>
        </w:tc>
        <w:tc>
          <w:tcPr>
            <w:tcW w:type="dxa" w:w="2880"/>
          </w:tcPr>
          <w:p>
            <w:r>
              <w:rPr>
                <w:sz w:val="17"/>
              </w:rPr>
              <w:t>Mechanical. Apply alongside whatever else changes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