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36"/>
        </w:rPr>
        <w:t>02-competitive-analysis</w:t>
      </w:r>
    </w:p>
    <w:p>
      <w:r>
        <w:rPr>
          <w:i/>
          <w:color w:val="6B7280"/>
          <w:sz w:val="17"/>
        </w:rPr>
        <w:t>Generated from the Markdown source in deliverables/ by tools/export.py. The Markdown is the source of truth. Edit there and re-run, do not edit this file. Contains the sections from 'Step 2.15' onward.</w:t>
      </w:r>
    </w:p>
    <w:p>
      <w:pPr>
        <w:pStyle w:val="Heading2"/>
      </w:pPr>
      <w:r>
        <w:t>Step 2.15. Category summary</w:t>
      </w:r>
    </w:p>
    <w:p>
      <w:r>
        <w:t>**Vector 1, method credibility and track record.** Leader: Big Four and MBB at 9.7, Sandler at 9.4. Impact: credibility is the whole acquisition engine at the enterprise end. These firms are chosen before they are evaluated. Arab Tech Export cannot compete here and must borrow credibility instead, which is what the partnership channel is for.</w:t>
      </w:r>
    </w:p>
    <w:p>
      <w:r>
        <w:t>**Vector 2, speed to first target market conversation.** Leader: outsourced sales agencies at 9.2. Impact: speed wins the impatient buyer and it is why agencies get the budget when a board asks for target market progress this quarter. It is also why that budget repeats, since nothing accumulates inside the client.</w:t>
      </w:r>
    </w:p>
    <w:p>
      <w:r>
        <w:t>**Vector 3, destination market specificity.** Leader: Arab Tech Export at 9.1, with the hire close behind at 8.6. Impact: this is the entry into every conversation. A general sales training provider cannot answer what a North American buyer checks about a foreign vendor, and the question is the opening.</w:t>
      </w:r>
    </w:p>
    <w:p>
      <w:r>
        <w:t>**Vector 4, capability that stays in the client's team.** Leader: Arab Tech Export at 8.7, Sandler second at 7.9. Impact: this is what turns a first engagement into a second one, and it is the only defensible answer to the hire. It also sets up the advisory retainer, which Phase 1 showed is a renewal product rather than an acquisition one.</w:t>
      </w:r>
    </w:p>
    <w:p>
      <w:r>
        <w:t>---</w:t>
      </w:r>
    </w:p>
    <w:p>
      <w:pPr>
        <w:pStyle w:val="Heading2"/>
      </w:pPr>
      <w:r>
        <w:t>Step 2.16. Positioning summary</w:t>
      </w:r>
    </w:p>
    <w:p>
      <w:r>
        <w:t>Arab Tech Export can lead Track A by standing where the hire stands on market knowledge and where Sandler stands on capability transfer, without carrying either one's weakness. Against the hire, the argument is not who knows the destination better, it is what remains in the company when that person leaves, and published benchmarks make the comparison concrete: median SaaS VP Sales base around $157,500, Series B on target earnings of $360,000 to $425,000, about 106 days to fill and three to six months to ramp, with search fees on top. Against a general sales training provider, the argument is that method without destination produces a team that sells well to the wrong buyer.</w:t>
      </w:r>
    </w:p>
    <w:p>
      <w:r>
        <w:t>The constraint is credibility and it is scored at 1.8 out of 10. No track record, no credential, no named clients, and an enterprise buyer who will not find public reviews to reassure them. The only fast route through this is borrowed standing, and the research found the institutions that have it. ITIDA Export IT has supported more than 370 companies across 15 rounds and its eligibility criteria describe a large part of this ICP directly. int@j and Jordan Source occupy the same position in Jordan. A partnership with one of these substitutes for a track record in a way that no content asset can, and it should be treated as the single most important commercial activity in Track A rather than as a channel among three.</w:t>
      </w:r>
    </w:p>
    <w:p>
      <w:r>
        <w:t>---</w:t>
      </w:r>
    </w:p>
    <w:p>
      <w:pPr>
        <w:pStyle w:val="Heading2"/>
      </w:pPr>
      <w:r>
        <w:t>Carried forward</w:t>
      </w:r>
    </w:p>
    <w:tbl>
      <w:tblPr>
        <w:tblStyle w:val="LightGrid-Accent1"/>
        <w:tblW w:type="auto" w:w="0"/>
        <w:tblLayout w:type="autofit"/>
        <w:tblLook w:firstColumn="1" w:firstRow="1" w:lastColumn="0" w:lastRow="0" w:noHBand="0" w:noVBand="1" w:val="04A0"/>
      </w:tblPr>
      <w:tblGrid>
        <w:gridCol w:w="4320"/>
        <w:gridCol w:w="4320"/>
      </w:tblGrid>
      <w:tr>
        <w:tc>
          <w:tcPr>
            <w:tcW w:type="dxa" w:w="4320"/>
          </w:tcPr>
          <w:p>
            <w:r>
              <w:rPr>
                <w:b/>
                <w:sz w:val="17"/>
              </w:rPr>
              <w:t>Output</w:t>
            </w:r>
          </w:p>
        </w:tc>
        <w:tc>
          <w:tcPr>
            <w:tcW w:type="dxa" w:w="4320"/>
          </w:tcPr>
          <w:p>
            <w:r>
              <w:rPr>
                <w:b/>
                <w:sz w:val="17"/>
              </w:rPr>
              <w:t>Goes to</w:t>
            </w:r>
          </w:p>
        </w:tc>
      </w:tr>
      <w:tr>
        <w:tc>
          <w:tcPr>
            <w:tcW w:type="dxa" w:w="4320"/>
          </w:tcPr>
          <w:p>
            <w:r>
              <w:rPr>
                <w:sz w:val="17"/>
              </w:rPr>
              <w:t>Vectors 3 and 4</w:t>
            </w:r>
          </w:p>
        </w:tc>
        <w:tc>
          <w:tcPr>
            <w:tcW w:type="dxa" w:w="4320"/>
          </w:tcPr>
          <w:p>
            <w:r>
              <w:rPr>
                <w:sz w:val="17"/>
              </w:rPr>
              <w:t>Phase 3, Phase 6, Phase 10 slide 4</w:t>
            </w:r>
          </w:p>
        </w:tc>
      </w:tr>
      <w:tr>
        <w:tc>
          <w:tcPr>
            <w:tcW w:type="dxa" w:w="4320"/>
          </w:tcPr>
          <w:p>
            <w:r>
              <w:rPr>
                <w:sz w:val="17"/>
              </w:rPr>
              <w:t>Credibility at 1.8</w:t>
            </w:r>
          </w:p>
        </w:tc>
        <w:tc>
          <w:tcPr>
            <w:tcW w:type="dxa" w:w="4320"/>
          </w:tcPr>
          <w:p>
            <w:r>
              <w:rPr>
                <w:sz w:val="17"/>
              </w:rPr>
              <w:t>Phase 8 partnerships as the priority channel</w:t>
            </w:r>
          </w:p>
        </w:tc>
      </w:tr>
      <w:tr>
        <w:tc>
          <w:tcPr>
            <w:tcW w:type="dxa" w:w="4320"/>
          </w:tcPr>
          <w:p>
            <w:r>
              <w:rPr>
                <w:sz w:val="17"/>
              </w:rPr>
              <w:t>The hire benchmarks</w:t>
            </w:r>
          </w:p>
        </w:tc>
        <w:tc>
          <w:tcPr>
            <w:tcW w:type="dxa" w:w="4320"/>
          </w:tcPr>
          <w:p>
            <w:r>
              <w:rPr>
                <w:sz w:val="17"/>
              </w:rPr>
              <w:t>Phase 9 anchor 2</w:t>
            </w:r>
          </w:p>
        </w:tc>
      </w:tr>
      <w:tr>
        <w:tc>
          <w:tcPr>
            <w:tcW w:type="dxa" w:w="4320"/>
          </w:tcPr>
          <w:p>
            <w:r>
              <w:rPr>
                <w:sz w:val="17"/>
              </w:rPr>
              <w:t>ITIDA eligibility overlap</w:t>
            </w:r>
          </w:p>
        </w:tc>
        <w:tc>
          <w:tcPr>
            <w:tcW w:type="dxa" w:w="4320"/>
          </w:tcPr>
          <w:p>
            <w:r>
              <w:rPr>
                <w:sz w:val="17"/>
              </w:rPr>
              <w:t>Phase 4 ICP, Phase 8 partnerships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