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03-positioning</w:t>
      </w:r>
    </w:p>
    <w:p>
      <w:r>
        <w:rPr>
          <w:i/>
          <w:color w:val="6B7280"/>
          <w:sz w:val="17"/>
        </w:rPr>
        <w:t>Generated from the Markdown source in deliverables/ by tools/export.py. The Markdown is the source of truth. Edit there and re-run, do not edit this file.</w:t>
      </w:r>
    </w:p>
    <w:p>
      <w:pPr>
        <w:pStyle w:val="Heading1"/>
      </w:pPr>
      <w:r>
        <w:t>Track B, Phase 3. Positioning</w:t>
      </w:r>
    </w:p>
    <w:p>
      <w:r>
        <w:t>Step 3.1, three statements. Runs as written per `SKILL-ADAPTATION.md`.</w:t>
      </w:r>
    </w:p>
    <w:p>
      <w:r>
        <w:t>Every statement below respects `GTM-BRIEF.md` Section 5. Economics are compared, readiness is never compared. No superlative that the Phase 2 research does not support.</w:t>
      </w:r>
    </w:p>
    <w:p>
      <w:r>
        <w:t>---</w:t>
      </w:r>
    </w:p>
    <w:p>
      <w:pPr>
        <w:pStyle w:val="Heading2"/>
      </w:pPr>
      <w:r>
        <w:t>Statement 1. Against direct competitors, paid Arabic technical education</w:t>
      </w:r>
    </w:p>
    <w:p>
      <w:r>
        <w:t>**Against Hsoub Academy, Arabic course platforms, and general freelancing courses:**</w:t>
      </w:r>
    </w:p>
    <w:p>
      <w:r>
        <w:t>Not another course teaching Arab builders a skill they already have. Arab Tech Export starts after the skill, at the point where a capable builder is invisible to a buyer in the United States or Canada. The instruction is about one buyer in one place, and the work happens on the member's own live deal rather than on a curriculum.</w:t>
      </w:r>
    </w:p>
    <w:p>
      <w:r>
        <w:t>**Why this form.** It concedes the craft ground to Hsoub, which scored 9.1 to this business's 3.2 on breadth of instruction, and takes the ground nobody holds. It also refuses the readiness framing: the builder is capable, the buyer just cannot see them.</w:t>
      </w:r>
    </w:p>
    <w:p>
      <w:r>
        <w:t>---</w:t>
      </w:r>
    </w:p>
    <w:p>
      <w:pPr>
        <w:pStyle w:val="Heading2"/>
      </w:pPr>
      <w:r>
        <w:t>Statement 2. Against indirect competitors, marketplaces and free content</w:t>
      </w:r>
    </w:p>
    <w:p>
      <w:r>
        <w:t>**Against Upwork, Mostaql, and the free content library:**</w:t>
      </w:r>
    </w:p>
    <w:p>
      <w:r>
        <w:t>Not a shortcut to more of the same work. A marketplace gives access and takes the price with it, because a buyer choosing from a list compares on price. Free content teaches selling in general, made mostly by people selling to a buyer they already had. Arab Tech Export is about one route, from Arab builders to buyers in the United States and Canada, and what that specific buyer checks before awarding work.</w:t>
      </w:r>
    </w:p>
    <w:p>
      <w:r>
        <w:t>**Why this form.** It names the real dynamic on marketplaces, list based comparison drives price down, without claiming anyone will earn more. It also handles the fragmented free content finding: the criticism is not quality, it is that the advice was written for a different starting position.</w:t>
      </w:r>
    </w:p>
    <w:p>
      <w:r>
        <w:t>---</w:t>
      </w:r>
    </w:p>
    <w:p>
      <w:pPr>
        <w:pStyle w:val="Heading2"/>
      </w:pPr>
      <w:r>
        <w:t>Statement 3. Against the status quo</w:t>
      </w:r>
    </w:p>
    <w:p>
      <w:r>
        <w:t>The status quo for this buyer, per `SKILL-ADAPTATION.md`: keep learning from free content and keep bidding on marketplaces.</w:t>
      </w:r>
    </w:p>
    <w:p>
      <w:r>
        <w:t>**Against doing nothing differently:**</w:t>
      </w:r>
    </w:p>
    <w:p>
      <w:r>
        <w:t>Not a question of working harder at the same two things. Watching more free content and sending more marketplace bids are both improvements to a position that was never the constraint. The capability is there. What is missing is knowing what a buyer in the United States or Canada checks, and being able to show it. Arab Tech Export teaches that, and applies it to the member's own live deal.</w:t>
      </w:r>
    </w:p>
    <w:p>
      <w:r>
        <w:t>**Why this form.** The status quo is genuinely good and free, and a statement that pretends otherwise loses an audience that is using it right now and finding it useful. The wedge is that free content and marketplace bidding both improve execution inside a position, and this is about the position.</w:t>
      </w:r>
    </w:p>
    <w:p>
      <w:r>
        <w:t>---</w:t>
      </w:r>
    </w:p>
    <w:p>
      <w:pPr>
        <w:pStyle w:val="Heading2"/>
      </w:pPr>
      <w:r>
        <w:t>What these statements deliberately do not say</w:t>
      </w:r>
    </w:p>
    <w:p>
      <w:r>
        <w:t>Named against `GTM-BRIEF.md` Section 5, so a later rewrite does not quietly reintroduce them.</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Not said</w:t>
            </w:r>
          </w:p>
        </w:tc>
        <w:tc>
          <w:tcPr>
            <w:tcW w:type="dxa" w:w="4320"/>
          </w:tcPr>
          <w:p>
            <w:r>
              <w:rPr>
                <w:b/>
                <w:sz w:val="17"/>
              </w:rPr>
              <w:t>Why</w:t>
            </w:r>
          </w:p>
        </w:tc>
      </w:tr>
      <w:tr>
        <w:tc>
          <w:tcPr>
            <w:tcW w:type="dxa" w:w="4320"/>
          </w:tcPr>
          <w:p>
            <w:r>
              <w:rPr>
                <w:sz w:val="17"/>
              </w:rPr>
              <w:t>Any version of local markets not being ready</w:t>
            </w:r>
          </w:p>
        </w:tc>
        <w:tc>
          <w:tcPr>
            <w:tcW w:type="dxa" w:w="4320"/>
          </w:tcPr>
          <w:p>
            <w:r>
              <w:rPr>
                <w:sz w:val="17"/>
              </w:rPr>
              <w:t>Banned outright. The audience being sold to lives in those markets</w:t>
            </w:r>
          </w:p>
        </w:tc>
      </w:tr>
      <w:tr>
        <w:tc>
          <w:tcPr>
            <w:tcW w:type="dxa" w:w="4320"/>
          </w:tcPr>
          <w:p>
            <w:r>
              <w:rPr>
                <w:sz w:val="17"/>
              </w:rPr>
              <w:t>Any earnings, rate, or revenue comparison</w:t>
            </w:r>
          </w:p>
        </w:tc>
        <w:tc>
          <w:tcPr>
            <w:tcW w:type="dxa" w:w="4320"/>
          </w:tcPr>
          <w:p>
            <w:r>
              <w:rPr>
                <w:sz w:val="17"/>
              </w:rPr>
              <w:t>Banned. Not a single number about money appears above</w:t>
            </w:r>
          </w:p>
        </w:tc>
      </w:tr>
      <w:tr>
        <w:tc>
          <w:tcPr>
            <w:tcW w:type="dxa" w:w="4320"/>
          </w:tcPr>
          <w:p>
            <w:r>
              <w:rPr>
                <w:sz w:val="17"/>
              </w:rPr>
              <w:t>Premium pricing, exponential revenue</w:t>
            </w:r>
          </w:p>
        </w:tc>
        <w:tc>
          <w:tcPr>
            <w:tcW w:type="dxa" w:w="4320"/>
          </w:tcPr>
          <w:p>
            <w:r>
              <w:rPr>
                <w:sz w:val="17"/>
              </w:rPr>
              <w:t>Banned framing. "Compares on price" describes a mechanism without promising an outcome</w:t>
            </w:r>
          </w:p>
        </w:tc>
      </w:tr>
      <w:tr>
        <w:tc>
          <w:tcPr>
            <w:tcW w:type="dxa" w:w="4320"/>
          </w:tcPr>
          <w:p>
            <w:r>
              <w:rPr>
                <w:sz w:val="17"/>
              </w:rPr>
              <w:t>Only provider pairing this origin with these markets</w:t>
            </w:r>
          </w:p>
        </w:tc>
        <w:tc>
          <w:tcPr>
            <w:tcW w:type="dxa" w:w="4320"/>
          </w:tcPr>
          <w:p>
            <w:r>
              <w:rPr>
                <w:sz w:val="17"/>
              </w:rPr>
              <w:t>Phase 2 research does not support a superlative. One pass found no named specialist, which is weak evidence. The statements describe what the business is built around instead</w:t>
            </w:r>
          </w:p>
        </w:tc>
      </w:tr>
      <w:tr>
        <w:tc>
          <w:tcPr>
            <w:tcW w:type="dxa" w:w="4320"/>
          </w:tcPr>
          <w:p>
            <w:r>
              <w:rPr>
                <w:sz w:val="17"/>
              </w:rPr>
              <w:t>Replacing humans</w:t>
            </w:r>
          </w:p>
        </w:tc>
        <w:tc>
          <w:tcPr>
            <w:tcW w:type="dxa" w:w="4320"/>
          </w:tcPr>
          <w:p>
            <w:r>
              <w:rPr>
                <w:sz w:val="17"/>
              </w:rPr>
              <w:t>Banned. Does not appear</w:t>
            </w:r>
          </w:p>
        </w:tc>
      </w:tr>
      <w:tr>
        <w:tc>
          <w:tcPr>
            <w:tcW w:type="dxa" w:w="4320"/>
          </w:tcPr>
          <w:p>
            <w:r>
              <w:rPr>
                <w:sz w:val="17"/>
              </w:rPr>
              <w:t>Any guarantee</w:t>
            </w:r>
          </w:p>
        </w:tc>
        <w:tc>
          <w:tcPr>
            <w:tcW w:type="dxa" w:w="4320"/>
          </w:tcPr>
          <w:p>
            <w:r>
              <w:rPr>
                <w:sz w:val="17"/>
              </w:rPr>
              <w:t>None given</w:t>
            </w:r>
          </w:p>
        </w:tc>
      </w:tr>
    </w:tbl>
    <w:p/>
    <w:p>
      <w:r>
        <w:t>---</w:t>
      </w:r>
    </w:p>
    <w:p>
      <w:pPr>
        <w:pStyle w:val="Heading2"/>
      </w:pPr>
      <w:r>
        <w:t>Current state against projected state</w:t>
      </w:r>
    </w:p>
    <w:p>
      <w:r>
        <w:t>For Phase 10 slide 4.</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Vector</w:t>
            </w:r>
          </w:p>
        </w:tc>
        <w:tc>
          <w:tcPr>
            <w:tcW w:type="dxa" w:w="2160"/>
          </w:tcPr>
          <w:p>
            <w:r>
              <w:rPr>
                <w:b/>
                <w:sz w:val="17"/>
              </w:rPr>
              <w:t>Current</w:t>
            </w:r>
          </w:p>
        </w:tc>
        <w:tc>
          <w:tcPr>
            <w:tcW w:type="dxa" w:w="2160"/>
          </w:tcPr>
          <w:p>
            <w:r>
              <w:rPr>
                <w:b/>
                <w:sz w:val="17"/>
              </w:rPr>
              <w:t>Projected, 12 months</w:t>
            </w:r>
          </w:p>
        </w:tc>
        <w:tc>
          <w:tcPr>
            <w:tcW w:type="dxa" w:w="2160"/>
          </w:tcPr>
          <w:p>
            <w:r>
              <w:rPr>
                <w:b/>
                <w:sz w:val="17"/>
              </w:rPr>
              <w:t>What moves it</w:t>
            </w:r>
          </w:p>
        </w:tc>
      </w:tr>
      <w:tr>
        <w:tc>
          <w:tcPr>
            <w:tcW w:type="dxa" w:w="2160"/>
          </w:tcPr>
          <w:p>
            <w:r>
              <w:rPr>
                <w:sz w:val="17"/>
              </w:rPr>
              <w:t>Arabic accessibility and price fit</w:t>
            </w:r>
          </w:p>
        </w:tc>
        <w:tc>
          <w:tcPr>
            <w:tcW w:type="dxa" w:w="2160"/>
          </w:tcPr>
          <w:p>
            <w:r>
              <w:rPr>
                <w:sz w:val="17"/>
              </w:rPr>
              <w:t>6.4</w:t>
            </w:r>
          </w:p>
        </w:tc>
        <w:tc>
          <w:tcPr>
            <w:tcW w:type="dxa" w:w="2160"/>
          </w:tcPr>
          <w:p>
            <w:r>
              <w:rPr>
                <w:sz w:val="17"/>
              </w:rPr>
              <w:t>6.4</w:t>
            </w:r>
          </w:p>
        </w:tc>
        <w:tc>
          <w:tcPr>
            <w:tcW w:type="dxa" w:w="2160"/>
          </w:tcPr>
          <w:p>
            <w:r>
              <w:rPr>
                <w:sz w:val="17"/>
              </w:rPr>
              <w:t>Nothing. This is conceded ground. Free is free</w:t>
            </w:r>
          </w:p>
        </w:tc>
      </w:tr>
      <w:tr>
        <w:tc>
          <w:tcPr>
            <w:tcW w:type="dxa" w:w="2160"/>
          </w:tcPr>
          <w:p>
            <w:r>
              <w:rPr>
                <w:sz w:val="17"/>
              </w:rPr>
              <w:t>Breadth of craft instruction</w:t>
            </w:r>
          </w:p>
        </w:tc>
        <w:tc>
          <w:tcPr>
            <w:tcW w:type="dxa" w:w="2160"/>
          </w:tcPr>
          <w:p>
            <w:r>
              <w:rPr>
                <w:sz w:val="17"/>
              </w:rPr>
              <w:t>3.2</w:t>
            </w:r>
          </w:p>
        </w:tc>
        <w:tc>
          <w:tcPr>
            <w:tcW w:type="dxa" w:w="2160"/>
          </w:tcPr>
          <w:p>
            <w:r>
              <w:rPr>
                <w:sz w:val="17"/>
              </w:rPr>
              <w:t>3.2</w:t>
            </w:r>
          </w:p>
        </w:tc>
        <w:tc>
          <w:tcPr>
            <w:tcW w:type="dxa" w:w="2160"/>
          </w:tcPr>
          <w:p>
            <w:r>
              <w:rPr>
                <w:sz w:val="17"/>
              </w:rPr>
              <w:t>Nothing. Deliberately not contested</w:t>
            </w:r>
          </w:p>
        </w:tc>
      </w:tr>
      <w:tr>
        <w:tc>
          <w:tcPr>
            <w:tcW w:type="dxa" w:w="2160"/>
          </w:tcPr>
          <w:p>
            <w:r>
              <w:rPr>
                <w:sz w:val="17"/>
              </w:rPr>
              <w:t>Target market buyer specificity</w:t>
            </w:r>
          </w:p>
        </w:tc>
        <w:tc>
          <w:tcPr>
            <w:tcW w:type="dxa" w:w="2160"/>
          </w:tcPr>
          <w:p>
            <w:r>
              <w:rPr>
                <w:sz w:val="17"/>
              </w:rPr>
              <w:t>9.4</w:t>
            </w:r>
          </w:p>
        </w:tc>
        <w:tc>
          <w:tcPr>
            <w:tcW w:type="dxa" w:w="2160"/>
          </w:tcPr>
          <w:p>
            <w:r>
              <w:rPr>
                <w:sz w:val="17"/>
              </w:rPr>
              <w:t>9.4, defended</w:t>
            </w:r>
          </w:p>
        </w:tc>
        <w:tc>
          <w:tcPr>
            <w:tcW w:type="dxa" w:w="2160"/>
          </w:tcPr>
          <w:p>
            <w:r>
              <w:rPr>
                <w:sz w:val="17"/>
              </w:rPr>
              <w:t>Published buyer evaluation walkthroughs, accumulating</w:t>
            </w:r>
          </w:p>
        </w:tc>
      </w:tr>
      <w:tr>
        <w:tc>
          <w:tcPr>
            <w:tcW w:type="dxa" w:w="2160"/>
          </w:tcPr>
          <w:p>
            <w:r>
              <w:rPr>
                <w:sz w:val="17"/>
              </w:rPr>
              <w:t>Applied to the member's own live deal</w:t>
            </w:r>
          </w:p>
        </w:tc>
        <w:tc>
          <w:tcPr>
            <w:tcW w:type="dxa" w:w="2160"/>
          </w:tcPr>
          <w:p>
            <w:r>
              <w:rPr>
                <w:sz w:val="17"/>
              </w:rPr>
              <w:t>8.9</w:t>
            </w:r>
          </w:p>
        </w:tc>
        <w:tc>
          <w:tcPr>
            <w:tcW w:type="dxa" w:w="2160"/>
          </w:tcPr>
          <w:p>
            <w:r>
              <w:rPr>
                <w:sz w:val="17"/>
              </w:rPr>
              <w:t>9.6</w:t>
            </w:r>
          </w:p>
        </w:tc>
        <w:tc>
          <w:tcPr>
            <w:tcW w:type="dxa" w:w="2160"/>
          </w:tcPr>
          <w:p>
            <w:r>
              <w:rPr>
                <w:sz w:val="17"/>
              </w:rPr>
              <w:t>Teardown cadence, the deal rubric, and a founding cohort with live deals to work on</w:t>
            </w:r>
          </w:p>
        </w:tc>
      </w:tr>
    </w:tbl>
    <w:p/>
    <w:p>
      <w:r>
        <w:t>Two of four vectors are flat on purpose. A plan that projects improvement on every vector is a plan that has not chosen anything.</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Statement 3, against status quo</w:t>
            </w:r>
          </w:p>
        </w:tc>
        <w:tc>
          <w:tcPr>
            <w:tcW w:type="dxa" w:w="4320"/>
          </w:tcPr>
          <w:p>
            <w:r>
              <w:rPr>
                <w:sz w:val="17"/>
              </w:rPr>
              <w:t>Phase 6 pillar 1. Phase 7 stage 1. Phase 10 slide 1</w:t>
            </w:r>
          </w:p>
        </w:tc>
      </w:tr>
      <w:tr>
        <w:tc>
          <w:tcPr>
            <w:tcW w:type="dxa" w:w="4320"/>
          </w:tcPr>
          <w:p>
            <w:r>
              <w:rPr>
                <w:sz w:val="17"/>
              </w:rPr>
              <w:t>Conceded ground on price and breadth</w:t>
            </w:r>
          </w:p>
        </w:tc>
        <w:tc>
          <w:tcPr>
            <w:tcW w:type="dxa" w:w="4320"/>
          </w:tcPr>
          <w:p>
            <w:r>
              <w:rPr>
                <w:sz w:val="17"/>
              </w:rPr>
              <w:t>Phase 9 floor. Phase 8 channel choice</w:t>
            </w:r>
          </w:p>
        </w:tc>
      </w:tr>
      <w:tr>
        <w:tc>
          <w:tcPr>
            <w:tcW w:type="dxa" w:w="4320"/>
          </w:tcPr>
          <w:p>
            <w:r>
              <w:rPr>
                <w:sz w:val="17"/>
              </w:rPr>
              <w:t>Current against projected</w:t>
            </w:r>
          </w:p>
        </w:tc>
        <w:tc>
          <w:tcPr>
            <w:tcW w:type="dxa" w:w="4320"/>
          </w:tcPr>
          <w:p>
            <w:r>
              <w:rPr>
                <w:sz w:val="17"/>
              </w:rPr>
              <w:t>Phase 10 slide 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