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00-RESOLUTIONS</w:t>
      </w:r>
    </w:p>
    <w:p>
      <w:r>
        <w:rPr>
          <w:i/>
          <w:color w:val="6B7280"/>
          <w:sz w:val="17"/>
        </w:rPr>
        <w:t>Generated from the Markdown source in deliverables/ by tools/export.py. The Markdown is the source of truth. Edit there and re-run, do not edit this file.</w:t>
      </w:r>
    </w:p>
    <w:p>
      <w:pPr>
        <w:pStyle w:val="Heading1"/>
      </w:pPr>
      <w:r>
        <w:t>Conflict resolutions</w:t>
      </w:r>
    </w:p>
    <w:p>
      <w:r>
        <w:t>All eight conflicts in `00-CONFLICTS-TO-RESOLVE.md` resolved on the recommendations given there, on your instruction. This is the decision log. The conflicts document is kept unchanged as the reasoning behind each choice.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Conflict</w:t>
            </w:r>
          </w:p>
        </w:tc>
        <w:tc>
          <w:tcPr>
            <w:tcW w:type="dxa" w:w="2160"/>
          </w:tcPr>
          <w:p>
            <w:r>
              <w:rPr>
                <w:b/>
                <w:sz w:val="17"/>
              </w:rPr>
              <w:t>Resolved as</w:t>
            </w:r>
          </w:p>
        </w:tc>
        <w:tc>
          <w:tcPr>
            <w:tcW w:type="dxa" w:w="2160"/>
          </w:tcPr>
          <w:p>
            <w:r>
              <w:rPr>
                <w:b/>
                <w:sz w:val="17"/>
              </w:rPr>
              <w:t>Files changed</w:t>
            </w:r>
          </w:p>
        </w:tc>
      </w:tr>
      <w:tr>
        <w:tc>
          <w:tcPr>
            <w:tcW w:type="dxa" w:w="2160"/>
          </w:tcPr>
          <w:p>
            <w:r>
              <w:rPr>
                <w:sz w:val="17"/>
              </w:rPr>
              <w:t>1</w:t>
            </w:r>
          </w:p>
        </w:tc>
        <w:tc>
          <w:tcPr>
            <w:tcW w:type="dxa" w:w="2160"/>
          </w:tcPr>
          <w:p>
            <w:r>
              <w:rPr>
                <w:sz w:val="17"/>
              </w:rPr>
              <w:t>Scorecard dimensions</w:t>
            </w:r>
          </w:p>
        </w:tc>
        <w:tc>
          <w:tcPr>
            <w:tcW w:type="dxa" w:w="2160"/>
          </w:tcPr>
          <w:p>
            <w:r>
              <w:rPr>
                <w:sz w:val="17"/>
              </w:rPr>
              <w:t>B, extended</w:t>
            </w:r>
          </w:p>
        </w:tc>
        <w:tc>
          <w:tcPr>
            <w:tcW w:type="dxa" w:w="2160"/>
          </w:tcPr>
          <w:p>
            <w:r>
              <w:rPr>
                <w:sz w:val="17"/>
              </w:rPr>
              <w:t>Lead magnet, Phase 1, Phase 6, deck</w:t>
            </w:r>
          </w:p>
        </w:tc>
      </w:tr>
      <w:tr>
        <w:tc>
          <w:tcPr>
            <w:tcW w:type="dxa" w:w="2160"/>
          </w:tcPr>
          <w:p>
            <w:r>
              <w:rPr>
                <w:sz w:val="17"/>
              </w:rPr>
              <w:t>2</w:t>
            </w:r>
          </w:p>
        </w:tc>
        <w:tc>
          <w:tcPr>
            <w:tcW w:type="dxa" w:w="2160"/>
          </w:tcPr>
          <w:p>
            <w:r>
              <w:rPr>
                <w:sz w:val="17"/>
              </w:rPr>
              <w:t>Who Track B is for</w:t>
            </w:r>
          </w:p>
        </w:tc>
        <w:tc>
          <w:tcPr>
            <w:tcW w:type="dxa" w:w="2160"/>
          </w:tcPr>
          <w:p>
            <w:r>
              <w:rPr>
                <w:sz w:val="17"/>
              </w:rPr>
              <w:t>C, teach the ladder</w:t>
            </w:r>
          </w:p>
        </w:tc>
        <w:tc>
          <w:tcPr>
            <w:tcW w:type="dxa" w:w="2160"/>
          </w:tcPr>
          <w:p>
            <w:r>
              <w:rPr>
                <w:sz w:val="17"/>
              </w:rPr>
              <w:t>Phases 1, 3, 4, 6, 7, 9, lead magnet, deck</w:t>
            </w:r>
          </w:p>
        </w:tc>
      </w:tr>
      <w:tr>
        <w:tc>
          <w:tcPr>
            <w:tcW w:type="dxa" w:w="2160"/>
          </w:tcPr>
          <w:p>
            <w:r>
              <w:rPr>
                <w:sz w:val="17"/>
              </w:rPr>
              <w:t>3</w:t>
            </w:r>
          </w:p>
        </w:tc>
        <w:tc>
          <w:tcPr>
            <w:tcW w:type="dxa" w:w="2160"/>
          </w:tcPr>
          <w:p>
            <w:r>
              <w:rPr>
                <w:sz w:val="17"/>
              </w:rPr>
              <w:t>The core claim</w:t>
            </w:r>
          </w:p>
        </w:tc>
        <w:tc>
          <w:tcPr>
            <w:tcW w:type="dxa" w:w="2160"/>
          </w:tcPr>
          <w:p>
            <w:r>
              <w:rPr>
                <w:sz w:val="17"/>
              </w:rPr>
              <w:t>B, split the promise</w:t>
            </w:r>
          </w:p>
        </w:tc>
        <w:tc>
          <w:tcPr>
            <w:tcW w:type="dxa" w:w="2160"/>
          </w:tcPr>
          <w:p>
            <w:r>
              <w:rPr>
                <w:sz w:val="17"/>
              </w:rPr>
              <w:t>Phases 3, 6, lead magnet, deck</w:t>
            </w:r>
          </w:p>
        </w:tc>
      </w:tr>
      <w:tr>
        <w:tc>
          <w:tcPr>
            <w:tcW w:type="dxa" w:w="2160"/>
          </w:tcPr>
          <w:p>
            <w:r>
              <w:rPr>
                <w:sz w:val="17"/>
              </w:rPr>
              <w:t>4</w:t>
            </w:r>
          </w:p>
        </w:tc>
        <w:tc>
          <w:tcPr>
            <w:tcW w:type="dxa" w:w="2160"/>
          </w:tcPr>
          <w:p>
            <w:r>
              <w:rPr>
                <w:sz w:val="17"/>
              </w:rPr>
              <w:t>Canada</w:t>
            </w:r>
          </w:p>
        </w:tc>
        <w:tc>
          <w:tcPr>
            <w:tcW w:type="dxa" w:w="2160"/>
          </w:tcPr>
          <w:p>
            <w:r>
              <w:rPr>
                <w:sz w:val="17"/>
              </w:rPr>
              <w:t>A, keep sequence, add caveats</w:t>
            </w:r>
          </w:p>
        </w:tc>
        <w:tc>
          <w:tcPr>
            <w:tcW w:type="dxa" w:w="2160"/>
          </w:tcPr>
          <w:p>
            <w:r>
              <w:rPr>
                <w:sz w:val="17"/>
              </w:rPr>
              <w:t>00-ASSUMPTIONS.md, Track A Phase 4</w:t>
            </w:r>
          </w:p>
        </w:tc>
      </w:tr>
      <w:tr>
        <w:tc>
          <w:tcPr>
            <w:tcW w:type="dxa" w:w="2160"/>
          </w:tcPr>
          <w:p>
            <w:r>
              <w:rPr>
                <w:sz w:val="17"/>
              </w:rPr>
              <w:t>5</w:t>
            </w:r>
          </w:p>
        </w:tc>
        <w:tc>
          <w:tcPr>
            <w:tcW w:type="dxa" w:w="2160"/>
          </w:tcPr>
          <w:p>
            <w:r>
              <w:rPr>
                <w:sz w:val="17"/>
              </w:rPr>
              <w:t>Proof strategy</w:t>
            </w:r>
          </w:p>
        </w:tc>
        <w:tc>
          <w:tcPr>
            <w:tcW w:type="dxa" w:w="2160"/>
          </w:tcPr>
          <w:p>
            <w:r>
              <w:rPr>
                <w:sz w:val="17"/>
              </w:rPr>
              <w:t>C, both</w:t>
            </w:r>
          </w:p>
        </w:tc>
        <w:tc>
          <w:tcPr>
            <w:tcW w:type="dxa" w:w="2160"/>
          </w:tcPr>
          <w:p>
            <w:r>
              <w:rPr>
                <w:sz w:val="17"/>
              </w:rPr>
              <w:t>Phases 5, 6, 8</w:t>
            </w:r>
          </w:p>
        </w:tc>
      </w:tr>
      <w:tr>
        <w:tc>
          <w:tcPr>
            <w:tcW w:type="dxa" w:w="2160"/>
          </w:tcPr>
          <w:p>
            <w:r>
              <w:rPr>
                <w:sz w:val="17"/>
              </w:rPr>
              <w:t>6</w:t>
            </w:r>
          </w:p>
        </w:tc>
        <w:tc>
          <w:tcPr>
            <w:tcW w:type="dxa" w:w="2160"/>
          </w:tcPr>
          <w:p>
            <w:r>
              <w:rPr>
                <w:sz w:val="17"/>
              </w:rPr>
              <w:t>Insurance</w:t>
            </w:r>
          </w:p>
        </w:tc>
        <w:tc>
          <w:tcPr>
            <w:tcW w:type="dxa" w:w="2160"/>
          </w:tcPr>
          <w:p>
            <w:r>
              <w:rPr>
                <w:sz w:val="17"/>
              </w:rPr>
              <w:t>A, commission the research</w:t>
            </w:r>
          </w:p>
        </w:tc>
        <w:tc>
          <w:tcPr>
            <w:tcW w:type="dxa" w:w="2160"/>
          </w:tcPr>
          <w:p>
            <w:r>
              <w:rPr>
                <w:sz w:val="17"/>
              </w:rPr>
              <w:t>SUPPLEMENTARY-RESEARCH-PROMPT.md Block 11</w:t>
            </w:r>
          </w:p>
        </w:tc>
      </w:tr>
      <w:tr>
        <w:tc>
          <w:tcPr>
            <w:tcW w:type="dxa" w:w="2160"/>
          </w:tcPr>
          <w:p>
            <w:r>
              <w:rPr>
                <w:sz w:val="17"/>
              </w:rPr>
              <w:t>7</w:t>
            </w:r>
          </w:p>
        </w:tc>
        <w:tc>
          <w:tcPr>
            <w:tcW w:type="dxa" w:w="2160"/>
          </w:tcPr>
          <w:p>
            <w:r>
              <w:rPr>
                <w:sz w:val="17"/>
              </w:rPr>
              <w:t>Scorecard question 5</w:t>
            </w:r>
          </w:p>
        </w:tc>
        <w:tc>
          <w:tcPr>
            <w:tcW w:type="dxa" w:w="2160"/>
          </w:tcPr>
          <w:p>
            <w:r>
              <w:rPr>
                <w:sz w:val="17"/>
              </w:rPr>
              <w:t>Replaced with the evidenced ladder</w:t>
            </w:r>
          </w:p>
        </w:tc>
        <w:tc>
          <w:tcPr>
            <w:tcW w:type="dxa" w:w="2160"/>
          </w:tcPr>
          <w:p>
            <w:r>
              <w:rPr>
                <w:sz w:val="17"/>
              </w:rPr>
              <w:t>Lead magnet</w:t>
            </w:r>
          </w:p>
        </w:tc>
      </w:tr>
      <w:tr>
        <w:tc>
          <w:tcPr>
            <w:tcW w:type="dxa" w:w="2160"/>
          </w:tcPr>
          <w:p>
            <w:r>
              <w:rPr>
                <w:sz w:val="17"/>
              </w:rPr>
              <w:t>8</w:t>
            </w:r>
          </w:p>
        </w:tc>
        <w:tc>
          <w:tcPr>
            <w:tcW w:type="dxa" w:w="2160"/>
          </w:tcPr>
          <w:p>
            <w:r>
              <w:rPr>
                <w:sz w:val="17"/>
              </w:rPr>
              <w:t>Publishable numbers</w:t>
            </w:r>
          </w:p>
        </w:tc>
        <w:tc>
          <w:tcPr>
            <w:tcW w:type="dxa" w:w="2160"/>
          </w:tcPr>
          <w:p>
            <w:r>
              <w:rPr>
                <w:sz w:val="17"/>
              </w:rPr>
              <w:t>Standing rule adopted</w:t>
            </w:r>
          </w:p>
        </w:tc>
        <w:tc>
          <w:tcPr>
            <w:tcW w:type="dxa" w:w="2160"/>
          </w:tcPr>
          <w:p>
            <w:r>
              <w:rPr>
                <w:sz w:val="17"/>
              </w:rPr>
              <w:t>This file, applied everywhere</w:t>
            </w:r>
          </w:p>
        </w:tc>
      </w:tr>
    </w:tbl>
    <w:p/>
    <w:p>
      <w:r>
        <w:t>---</w:t>
      </w:r>
    </w:p>
    <w:p>
      <w:pPr>
        <w:pStyle w:val="Heading2"/>
      </w:pPr>
      <w:r>
        <w:t>The central decision, conflict 2</w:t>
      </w:r>
    </w:p>
    <w:p>
      <w:r>
        <w:t>**Resolved as option C. The ladder is the product.**</w:t>
      </w:r>
    </w:p>
    <w:p>
      <w:r>
        <w:t>Arab Tech Export is now positioned as the route from work that needs no procurement to contracts that clear it. The buyer's gates stop being an entry requirement and become the destination.</w:t>
      </w:r>
    </w:p>
    <w:p>
      <w:r>
        <w:t>This is the resolution that made the others fall into place, and it is the one that cost the most to apply.</w:t>
      </w:r>
    </w:p>
    <w:p>
      <w:pPr>
        <w:pStyle w:val="Heading3"/>
      </w:pPr>
      <w:r>
        <w:t>The four bands</w:t>
      </w:r>
    </w:p>
    <w:p>
      <w:r>
        <w:t>Taken from `00-BUYER-CHECKS.md`, used consistently across every Track B deliverable from here.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Band</w:t>
            </w:r>
          </w:p>
        </w:tc>
        <w:tc>
          <w:tcPr>
            <w:tcW w:type="dxa" w:w="2160"/>
          </w:tcPr>
          <w:p>
            <w:r>
              <w:rPr>
                <w:b/>
                <w:sz w:val="17"/>
              </w:rPr>
              <w:t>Deal size</w:t>
            </w:r>
          </w:p>
        </w:tc>
        <w:tc>
          <w:tcPr>
            <w:tcW w:type="dxa" w:w="2160"/>
          </w:tcPr>
          <w:p>
            <w:r>
              <w:rPr>
                <w:b/>
                <w:sz w:val="17"/>
              </w:rPr>
              <w:t>What the buyer does</w:t>
            </w:r>
          </w:p>
        </w:tc>
        <w:tc>
          <w:tcPr>
            <w:tcW w:type="dxa" w:w="2160"/>
          </w:tcPr>
          <w:p>
            <w:r>
              <w:rPr>
                <w:b/>
                <w:sz w:val="17"/>
              </w:rPr>
              <w:t>What the member needs</w:t>
            </w:r>
          </w:p>
        </w:tc>
      </w:tr>
      <w:tr>
        <w:tc>
          <w:tcPr>
            <w:tcW w:type="dxa" w:w="2160"/>
          </w:tcPr>
          <w:p>
            <w:r>
              <w:rPr>
                <w:sz w:val="17"/>
              </w:rPr>
              <w:t>1</w:t>
            </w:r>
          </w:p>
        </w:tc>
        <w:tc>
          <w:tcPr>
            <w:tcW w:type="dxa" w:w="2160"/>
          </w:tcPr>
          <w:p>
            <w:r>
              <w:rPr>
                <w:sz w:val="17"/>
              </w:rPr>
              <w:t>Under about $15,000</w:t>
            </w:r>
          </w:p>
        </w:tc>
        <w:tc>
          <w:tcPr>
            <w:tcW w:type="dxa" w:w="2160"/>
          </w:tcPr>
          <w:p>
            <w:r>
              <w:rPr>
                <w:sz w:val="17"/>
              </w:rPr>
              <w:t>Minimal formal procurement. Manager approval. Reported 14 to 30 day cycles</w:t>
            </w:r>
          </w:p>
        </w:tc>
        <w:tc>
          <w:tcPr>
            <w:tcW w:type="dxa" w:w="2160"/>
          </w:tcPr>
          <w:p>
            <w:r>
              <w:rPr>
                <w:sz w:val="17"/>
              </w:rPr>
              <w:t>Legibility, a scope, an invoice that gets paid</w:t>
            </w:r>
          </w:p>
        </w:tc>
      </w:tr>
      <w:tr>
        <w:tc>
          <w:tcPr>
            <w:tcW w:type="dxa" w:w="2160"/>
          </w:tcPr>
          <w:p>
            <w:r>
              <w:rPr>
                <w:sz w:val="17"/>
              </w:rPr>
              <w:t>2</w:t>
            </w:r>
          </w:p>
        </w:tc>
        <w:tc>
          <w:tcPr>
            <w:tcW w:type="dxa" w:w="2160"/>
          </w:tcPr>
          <w:p>
            <w:r>
              <w:rPr>
                <w:sz w:val="17"/>
              </w:rPr>
              <w:t>About $15,000 to $25,000</w:t>
            </w:r>
          </w:p>
        </w:tc>
        <w:tc>
          <w:tcPr>
            <w:tcW w:type="dxa" w:w="2160"/>
          </w:tcPr>
          <w:p>
            <w:r>
              <w:rPr>
                <w:sz w:val="17"/>
              </w:rPr>
              <w:t>Procurement appears. Some security review</w:t>
            </w:r>
          </w:p>
        </w:tc>
        <w:tc>
          <w:tcPr>
            <w:tcW w:type="dxa" w:w="2160"/>
          </w:tcPr>
          <w:p>
            <w:r>
              <w:rPr>
                <w:sz w:val="17"/>
              </w:rPr>
              <w:t>The above, plus tax paperwork and a contract template</w:t>
            </w:r>
          </w:p>
        </w:tc>
      </w:tr>
      <w:tr>
        <w:tc>
          <w:tcPr>
            <w:tcW w:type="dxa" w:w="2160"/>
          </w:tcPr>
          <w:p>
            <w:r>
              <w:rPr>
                <w:sz w:val="17"/>
              </w:rPr>
              <w:t>3</w:t>
            </w:r>
          </w:p>
        </w:tc>
        <w:tc>
          <w:tcPr>
            <w:tcW w:type="dxa" w:w="2160"/>
          </w:tcPr>
          <w:p>
            <w:r>
              <w:rPr>
                <w:sz w:val="17"/>
              </w:rPr>
              <w:t>About $25,000 to $100,000</w:t>
            </w:r>
          </w:p>
        </w:tc>
        <w:tc>
          <w:tcPr>
            <w:tcW w:type="dxa" w:w="2160"/>
          </w:tcPr>
          <w:p>
            <w:r>
              <w:rPr>
                <w:sz w:val="17"/>
              </w:rPr>
              <w:t>Procurement, legal review and a security questionnaire become normal</w:t>
            </w:r>
          </w:p>
        </w:tc>
        <w:tc>
          <w:tcPr>
            <w:tcW w:type="dxa" w:w="2160"/>
          </w:tcPr>
          <w:p>
            <w:r>
              <w:rPr>
                <w:sz w:val="17"/>
              </w:rPr>
              <w:t>The above, plus security evidence, a DPA, insurance</w:t>
            </w:r>
          </w:p>
        </w:tc>
      </w:tr>
      <w:tr>
        <w:tc>
          <w:tcPr>
            <w:tcW w:type="dxa" w:w="2160"/>
          </w:tcPr>
          <w:p>
            <w:r>
              <w:rPr>
                <w:sz w:val="17"/>
              </w:rPr>
              <w:t>4</w:t>
            </w:r>
          </w:p>
        </w:tc>
        <w:tc>
          <w:tcPr>
            <w:tcW w:type="dxa" w:w="2160"/>
          </w:tcPr>
          <w:p>
            <w:r>
              <w:rPr>
                <w:sz w:val="17"/>
              </w:rPr>
              <w:t>Above about $100,000</w:t>
            </w:r>
          </w:p>
        </w:tc>
        <w:tc>
          <w:tcPr>
            <w:tcW w:type="dxa" w:w="2160"/>
          </w:tcPr>
          <w:p>
            <w:r>
              <w:rPr>
                <w:sz w:val="17"/>
              </w:rPr>
              <w:t>Full enterprise. Reported 90 to 180 plus day cycles, 35 to 40 percent inside legal and procurement</w:t>
            </w:r>
          </w:p>
        </w:tc>
        <w:tc>
          <w:tcPr>
            <w:tcW w:type="dxa" w:w="2160"/>
          </w:tcPr>
          <w:p>
            <w:r>
              <w:rPr>
                <w:sz w:val="17"/>
              </w:rPr>
              <w:t>The above, operating and documented</w:t>
            </w:r>
          </w:p>
        </w:tc>
      </w:tr>
    </w:tbl>
    <w:p/>
    <w:p>
      <w:r>
        <w:t>**Why this beats the previous framing.** The old version implied every member needed the full gate set. Most do not, and teaching enterprise procurement to someone bidding band 1 work is the fastest route to the first-fortnight churn Phase 7 names as the main risk. The bands let one curriculum serve the whole audience, and they give the offer somewhere to go rather than a flat body of content.</w:t>
      </w:r>
    </w:p>
    <w:p>
      <w:r>
        <w:t>**Why it is honest.** It describes what kind of deal a member can survive. It says nothing about what anyone earns, which `GTM-BRIEF.md` Section 5 rules out, and it needs no outcome claim to be compelling.</w:t>
      </w:r>
    </w:p>
    <w:p>
      <w:pPr>
        <w:pStyle w:val="Heading3"/>
      </w:pPr>
      <w:r>
        <w:t>The band the deal sits in is not the band the member is in</w:t>
      </w:r>
    </w:p>
    <w:p>
      <w:r>
        <w:t>Worth stating because it is the distinction the whole curriculum turns on. A member is at the band their **setup** can survive. A member with no W-8BEN on file is at band 1 regardless of what they are bidding on, and a band 3 opportunity will stall in finance.</w:t>
      </w:r>
    </w:p>
    <w:p>
      <w:r>
        <w:t>---</w:t>
      </w:r>
    </w:p>
    <w:p>
      <w:pPr>
        <w:pStyle w:val="Heading2"/>
      </w:pPr>
      <w:r>
        <w:t>Conflict 3, the core claim</w:t>
      </w:r>
    </w:p>
    <w:p>
      <w:r>
        <w:t>**Resolved as option B. Split the promise.**</w:t>
      </w:r>
    </w:p>
    <w:p>
      <w:r>
        <w:t>The old claim was that the builder is capable and merely illegible. Three of the four most common foreign-vendor gaps are not presentational. SOC 2 Type II needs controls operating over 6 to 12 months. Insurance has a premium.</w:t>
      </w:r>
    </w:p>
    <w:p>
      <w:r>
        <w:t>**New claim:** some of what is missing is how you present. Some of it you have to build. We tell you which is which, and in what order.</w:t>
      </w:r>
    </w:p>
    <w:p>
      <w:r>
        <w:t>Applied in Phase 3 statement 1, all three Phase 6 pillars, the scorecard result bands, and slide 1 of the deck.</w:t>
      </w:r>
    </w:p>
    <w:p>
      <w:r>
        <w:t>This is a better offer than the old one, not a weaker one. Telling someone which of their gaps is free to fix and which costs money is unusual, checkable, and it speaks to the internal decision-maker Phase 5 found that value-proposition copy does not reach.</w:t>
      </w:r>
    </w:p>
    <w:p>
      <w:r>
        <w:t>---</w:t>
      </w:r>
    </w:p>
    <w:p>
      <w:pPr>
        <w:pStyle w:val="Heading2"/>
      </w:pPr>
      <w:r>
        <w:t>Conflict 1, the scorecard dimensions</w:t>
      </w:r>
    </w:p>
    <w:p>
      <w:r>
        <w:t>**Resolved as B, extended past B once conflict 2 was settled.**</w:t>
      </w:r>
    </w:p>
    <w:p>
      <w:r>
        <w:t>The recommendation was to swap Pricing frame for security evidence and hold the larger rebuild. With the ladder adopted, a second change became coherent and was made: Follow-through became **Champion enablement**, which is what the research actually describes.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Old</w:t>
            </w:r>
          </w:p>
        </w:tc>
        <w:tc>
          <w:tcPr>
            <w:tcW w:type="dxa" w:w="2880"/>
          </w:tcPr>
          <w:p>
            <w:r>
              <w:rPr>
                <w:b/>
                <w:sz w:val="17"/>
              </w:rPr>
              <w:t>New</w:t>
            </w:r>
          </w:p>
        </w:tc>
        <w:tc>
          <w:tcPr>
            <w:tcW w:type="dxa" w:w="2880"/>
          </w:tcPr>
          <w:p>
            <w:r>
              <w:rPr>
                <w:b/>
                <w:sz w:val="17"/>
              </w:rPr>
              <w:t>Why</w:t>
            </w:r>
          </w:p>
        </w:tc>
      </w:tr>
      <w:tr>
        <w:tc>
          <w:tcPr>
            <w:tcW w:type="dxa" w:w="2880"/>
          </w:tcPr>
          <w:p>
            <w:r>
              <w:rPr>
                <w:sz w:val="17"/>
              </w:rPr>
              <w:t>Legibility</w:t>
            </w:r>
          </w:p>
        </w:tc>
        <w:tc>
          <w:tcPr>
            <w:tcW w:type="dxa" w:w="2880"/>
          </w:tcPr>
          <w:p>
            <w:r>
              <w:rPr>
                <w:sz w:val="17"/>
              </w:rPr>
              <w:t>Legibility</w:t>
            </w:r>
          </w:p>
        </w:tc>
        <w:tc>
          <w:tcPr>
            <w:tcW w:type="dxa" w:w="2880"/>
          </w:tcPr>
          <w:p>
            <w:r>
              <w:rPr>
                <w:sz w:val="17"/>
              </w:rPr>
              <w:t>Unchanged. Supported by the soft-checks evidence</w:t>
            </w:r>
          </w:p>
        </w:tc>
      </w:tr>
      <w:tr>
        <w:tc>
          <w:tcPr>
            <w:tcW w:type="dxa" w:w="2880"/>
          </w:tcPr>
          <w:p>
            <w:r>
              <w:rPr>
                <w:sz w:val="17"/>
              </w:rPr>
              <w:t>Proof</w:t>
            </w:r>
          </w:p>
        </w:tc>
        <w:tc>
          <w:tcPr>
            <w:tcW w:type="dxa" w:w="2880"/>
          </w:tcPr>
          <w:p>
            <w:r>
              <w:rPr>
                <w:sz w:val="17"/>
              </w:rPr>
              <w:t>Proof</w:t>
            </w:r>
          </w:p>
        </w:tc>
        <w:tc>
          <w:tcPr>
            <w:tcW w:type="dxa" w:w="2880"/>
          </w:tcPr>
          <w:p>
            <w:r>
              <w:rPr>
                <w:sz w:val="17"/>
              </w:rPr>
              <w:t>Kept, sharpened to attributable and specific</w:t>
            </w:r>
          </w:p>
        </w:tc>
      </w:tr>
      <w:tr>
        <w:tc>
          <w:tcPr>
            <w:tcW w:type="dxa" w:w="2880"/>
          </w:tcPr>
          <w:p>
            <w:r>
              <w:rPr>
                <w:sz w:val="17"/>
              </w:rPr>
              <w:t>Scope</w:t>
            </w:r>
          </w:p>
        </w:tc>
        <w:tc>
          <w:tcPr>
            <w:tcW w:type="dxa" w:w="2880"/>
          </w:tcPr>
          <w:p>
            <w:r>
              <w:rPr>
                <w:sz w:val="17"/>
              </w:rPr>
              <w:t>Scope</w:t>
            </w:r>
          </w:p>
        </w:tc>
        <w:tc>
          <w:tcPr>
            <w:tcW w:type="dxa" w:w="2880"/>
          </w:tcPr>
          <w:p>
            <w:r>
              <w:rPr>
                <w:sz w:val="17"/>
              </w:rPr>
              <w:t>Kept. Maps to the SOW</w:t>
            </w:r>
          </w:p>
        </w:tc>
      </w:tr>
      <w:tr>
        <w:tc>
          <w:tcPr>
            <w:tcW w:type="dxa" w:w="2880"/>
          </w:tcPr>
          <w:p>
            <w:r>
              <w:rPr>
                <w:sz w:val="17"/>
              </w:rPr>
              <w:t>Pricing frame</w:t>
            </w:r>
          </w:p>
        </w:tc>
        <w:tc>
          <w:tcPr>
            <w:tcW w:type="dxa" w:w="2880"/>
          </w:tcPr>
          <w:p>
            <w:r>
              <w:rPr>
                <w:sz w:val="17"/>
              </w:rPr>
              <w:t>Paperwork readiness</w:t>
            </w:r>
          </w:p>
        </w:tc>
        <w:tc>
          <w:tcPr>
            <w:tcW w:type="dxa" w:w="2880"/>
          </w:tcPr>
          <w:p>
            <w:r>
              <w:rPr>
                <w:sz w:val="17"/>
              </w:rPr>
              <w:t>Removed. Pricing is not a buyer verification. Replaced with tax forms, contract template and invoicing, which are</w:t>
            </w:r>
          </w:p>
        </w:tc>
      </w:tr>
      <w:tr>
        <w:tc>
          <w:tcPr>
            <w:tcW w:type="dxa" w:w="2880"/>
          </w:tcPr>
          <w:p>
            <w:r>
              <w:rPr>
                <w:sz w:val="17"/>
              </w:rPr>
              <w:t>Contracting and payment</w:t>
            </w:r>
          </w:p>
        </w:tc>
        <w:tc>
          <w:tcPr>
            <w:tcW w:type="dxa" w:w="2880"/>
          </w:tcPr>
          <w:p>
            <w:r>
              <w:rPr>
                <w:sz w:val="17"/>
              </w:rPr>
              <w:t>Security and compliance readiness</w:t>
            </w:r>
          </w:p>
        </w:tc>
        <w:tc>
          <w:tcPr>
            <w:tcW w:type="dxa" w:w="2880"/>
          </w:tcPr>
          <w:p>
            <w:r>
              <w:rPr>
                <w:sz w:val="17"/>
              </w:rPr>
              <w:t>The dominant gate above band 2 and absent from the old set</w:t>
            </w:r>
          </w:p>
        </w:tc>
      </w:tr>
      <w:tr>
        <w:tc>
          <w:tcPr>
            <w:tcW w:type="dxa" w:w="2880"/>
          </w:tcPr>
          <w:p>
            <w:r>
              <w:rPr>
                <w:sz w:val="17"/>
              </w:rPr>
              <w:t>Follow-through</w:t>
            </w:r>
          </w:p>
        </w:tc>
        <w:tc>
          <w:tcPr>
            <w:tcW w:type="dxa" w:w="2880"/>
          </w:tcPr>
          <w:p>
            <w:r>
              <w:rPr>
                <w:sz w:val="17"/>
              </w:rPr>
              <w:t>Champion enablement</w:t>
            </w:r>
          </w:p>
        </w:tc>
        <w:tc>
          <w:tcPr>
            <w:tcW w:type="dxa" w:w="2880"/>
          </w:tcPr>
          <w:p>
            <w:r>
              <w:rPr>
                <w:sz w:val="17"/>
              </w:rPr>
              <w:t>Renamed to the mechanism the research found. Can your advocate carry you through four departments</w:t>
            </w:r>
          </w:p>
        </w:tc>
      </w:tr>
    </w:tbl>
    <w:p/>
    <w:p>
      <w:r>
        <w:t>Every dimension's five answer options are now the rungs of that dimension's ladder, so the scorecard measures band position directly rather than impression.</w:t>
      </w:r>
    </w:p>
    <w:p>
      <w:r>
        <w:t>Insurance sits inside Paperwork readiness and is flagged, pending conflict 6.</w:t>
      </w:r>
    </w:p>
    <w:p>
      <w:r>
        <w:t>---</w:t>
      </w:r>
    </w:p>
    <w:p>
      <w:pPr>
        <w:pStyle w:val="Heading2"/>
      </w:pPr>
      <w:r>
        <w:t>Conflict 4, Canada</w:t>
      </w:r>
    </w:p>
    <w:p>
      <w:r>
        <w:t>**Resolved as option A. Sequence kept, assumption removed.**</w:t>
      </w:r>
    </w:p>
    <w:p>
      <w:r>
        <w:t>United States first, then Canada, stays. What goes is the unstated assumption that Canada is the United States with less competition. Three caveats now travel with it: the Buy Canadian preference in federal procurement, statutory Quebec French obligations, and the CLOUD Act scrutiny that falls on United States vendors and not on a MENA one, which is a small genuine opening.</w:t>
      </w:r>
    </w:p>
    <w:p>
      <w:r>
        <w:t>Recorded in `00-ASSUMPTIONS.md` as a founder decision rather than a finding.</w:t>
      </w:r>
    </w:p>
    <w:p>
      <w:r>
        <w:t>---</w:t>
      </w:r>
    </w:p>
    <w:p>
      <w:pPr>
        <w:pStyle w:val="Heading2"/>
      </w:pPr>
      <w:r>
        <w:t>Conflict 5, proof strategy</w:t>
      </w:r>
    </w:p>
    <w:p>
      <w:r>
        <w:t>**Resolved as option C. Both halves.**</w:t>
      </w:r>
    </w:p>
    <w:p>
      <w:pPr>
        <w:pStyle w:val="ListBullet"/>
      </w:pPr>
      <w:r>
        <w:t>The absence of results is stated plainly and early rather than worked around.</w:t>
      </w:r>
    </w:p>
    <w:p>
      <w:pPr>
        <w:pStyle w:val="ListBullet"/>
      </w:pPr>
      <w:r>
        <w:t>The founding cohort becomes the proof-generation mechanism, with permission to be</w:t>
      </w:r>
    </w:p>
    <w:p>
      <w:r>
        <w:t>referenced agreed at joining rather than requested later.</w:t>
      </w:r>
    </w:p>
    <w:p>
      <w:r>
        <w:t>The research says buyers discount logo walls and generic testimonials and want attributable case studies with named customers. That both validates the ban on invented proof and makes the founding cohort the only route to the proof that counts.</w:t>
      </w:r>
    </w:p>
    <w:p>
      <w:r>
        <w:t>---</w:t>
      </w:r>
    </w:p>
    <w:p>
      <w:pPr>
        <w:pStyle w:val="Heading2"/>
      </w:pPr>
      <w:r>
        <w:t>Conflict 6, insurance</w:t>
      </w:r>
    </w:p>
    <w:p>
      <w:r>
        <w:t>**Resolved as option A. Research commissioned, not guessed.**</w:t>
      </w:r>
    </w:p>
    <w:p>
      <w:r>
        <w:t>Added as **Block 11** to `SUPPLEMENTARY-RESEARCH-PROMPT.md`. Until it returns, insurance appears in the curriculum as a known buyer requirement with an explicitly open answer on obtainability. It is not taught as solvable and it is not hidden.</w:t>
      </w:r>
    </w:p>
    <w:p>
      <w:r>
        <w:t>---</w:t>
      </w:r>
    </w:p>
    <w:p>
      <w:pPr>
        <w:pStyle w:val="Heading2"/>
      </w:pPr>
      <w:r>
        <w:t>Conflict 7, scorecard question 5</w:t>
      </w:r>
    </w:p>
    <w:p>
      <w:r>
        <w:t>Replaced with the evidenced ladder: W-8BEN or W-8BEN-E on file, a contract template ready, a working payment route, insurance certificates available, security evidence assembled. Folded into the conflict 1 rebuild.</w:t>
      </w:r>
    </w:p>
    <w:p>
      <w:r>
        <w:t>---</w:t>
      </w:r>
    </w:p>
    <w:p>
      <w:pPr>
        <w:pStyle w:val="Heading2"/>
      </w:pPr>
      <w:r>
        <w:t>Conflict 8, publishable numbers</w:t>
      </w:r>
    </w:p>
    <w:p>
      <w:r>
        <w:t>**Standing rule, applied from here on.**</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Source tier</w:t>
            </w:r>
          </w:p>
        </w:tc>
        <w:tc>
          <w:tcPr>
            <w:tcW w:type="dxa" w:w="4320"/>
          </w:tcPr>
          <w:p>
            <w:r>
              <w:rPr>
                <w:b/>
                <w:sz w:val="17"/>
              </w:rPr>
              <w:t>Treatment</w:t>
            </w:r>
          </w:p>
        </w:tc>
      </w:tr>
      <w:tr>
        <w:tc>
          <w:tcPr>
            <w:tcW w:type="dxa" w:w="4320"/>
          </w:tcPr>
          <w:p>
            <w:r>
              <w:rPr>
                <w:sz w:val="17"/>
              </w:rPr>
              <w:t>IRS, OFAC, Canada Treasury Board</w:t>
            </w:r>
          </w:p>
        </w:tc>
        <w:tc>
          <w:tcPr>
            <w:tcW w:type="dxa" w:w="4320"/>
          </w:tcPr>
          <w:p>
            <w:r>
              <w:rPr>
                <w:sz w:val="17"/>
              </w:rPr>
              <w:t>Teach as fact. Cite the source</w:t>
            </w:r>
          </w:p>
        </w:tc>
      </w:tr>
      <w:tr>
        <w:tc>
          <w:tcPr>
            <w:tcW w:type="dxa" w:w="4320"/>
          </w:tcPr>
          <w:p>
            <w:r>
              <w:rPr>
                <w:sz w:val="17"/>
              </w:rPr>
              <w:t>Vendor blogs, content marketing, benchmark aggregators</w:t>
            </w:r>
          </w:p>
        </w:tc>
        <w:tc>
          <w:tcPr>
            <w:tcW w:type="dxa" w:w="4320"/>
          </w:tcPr>
          <w:p>
            <w:r>
              <w:rPr>
                <w:sz w:val="17"/>
              </w:rPr>
              <w:t>Teach the mechanism. Describe figures as commonly reported</w:t>
            </w:r>
          </w:p>
        </w:tc>
      </w:tr>
      <w:tr>
        <w:tc>
          <w:tcPr>
            <w:tcW w:type="dxa" w:w="4320"/>
          </w:tcPr>
          <w:p>
            <w:r>
              <w:rPr>
                <w:sz w:val="17"/>
              </w:rPr>
              <w:t>The 78 percent SOC 2 Type II figure</w:t>
            </w:r>
          </w:p>
        </w:tc>
        <w:tc>
          <w:tcPr>
            <w:tcW w:type="dxa" w:w="4320"/>
          </w:tcPr>
          <w:p>
            <w:r>
              <w:rPr>
                <w:sz w:val="17"/>
              </w:rPr>
              <w:t>Never published. It comes from a vendor selling SOC 2 readiness services</w:t>
            </w:r>
          </w:p>
        </w:tc>
      </w:tr>
    </w:tbl>
    <w:p/>
    <w:p>
      <w:r>
        <w:t>Band thresholds are used throughout as approximate and are always written "about". They shape strategy. They do not go on a slide with a decimal point.</w:t>
      </w:r>
    </w:p>
    <w:p>
      <w:r>
        <w:t>---</w:t>
      </w:r>
    </w:p>
    <w:p>
      <w:pPr>
        <w:pStyle w:val="Heading2"/>
      </w:pPr>
      <w:r>
        <w:t>What was deliberately not changed</w:t>
      </w:r>
    </w:p>
    <w:p>
      <w:pPr>
        <w:pStyle w:val="ListBullet"/>
      </w:pPr>
      <w:r>
        <w:t>GTM-BRIEF.md. It is the founder's input, not an output. The positioning change</w:t>
      </w:r>
    </w:p>
    <w:p>
      <w:r>
        <w:t>in conflict 2 supersedes parts of Section 1, and that is recorded here rather than by editing the brief underneath you.</w:t>
      </w:r>
    </w:p>
    <w:p>
      <w:pPr>
        <w:pStyle w:val="ListBullet"/>
      </w:pPr>
      <w:r>
        <w:t>00-CONFLICTS-TO-RESOLVE.md. Left exactly as written. It is the reasoning that</w:t>
      </w:r>
    </w:p>
    <w:p>
      <w:r>
        <w:t>produced these decisions and rewriting it would erase the argument.</w:t>
      </w:r>
    </w:p>
    <w:p>
      <w:pPr>
        <w:pStyle w:val="ListBullet"/>
      </w:pPr>
      <w:r>
        <w:t>Track A positioning. Conflict 2 is a Track B problem. Track A's buyers already</w:t>
      </w:r>
    </w:p>
    <w:p>
      <w:r>
        <w:t>sit at bands 3 and 4, which is why the research validated that track rather than complicating it.</w:t>
      </w:r>
    </w:p>
    <w:p>
      <w:pPr>
        <w:pStyle w:val="ListBullet"/>
      </w:pPr>
      <w:r>
        <w:t>The eighteen blocked proof fields in Phase 6. Still {TBD}. No conflict</w:t>
      </w:r>
    </w:p>
    <w:p>
      <w:r>
        <w:t>resolution creates a customer, and conflict 5 makes the founding cohort the route to filling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