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03-positioning</w:t>
      </w:r>
    </w:p>
    <w:p>
      <w:r>
        <w:rPr>
          <w:i/>
          <w:color w:val="6B7280"/>
          <w:sz w:val="17"/>
        </w:rPr>
        <w:t>Generated from the Markdown source in deliverables/ by tools/export.py. The Markdown is the source of truth. Edit there and re-run, do not edit this file.</w:t>
      </w:r>
    </w:p>
    <w:p>
      <w:pPr>
        <w:pStyle w:val="Heading1"/>
      </w:pPr>
      <w:r>
        <w:t>Track A, Phase 3. Positioning</w:t>
      </w:r>
    </w:p>
    <w:p>
      <w:r>
        <w:t>Step 3.1. Three statements. Same claim constraints as Track B, `GTM-BRIEF.md` Section 5.</w:t>
      </w:r>
    </w:p>
    <w:p>
      <w:r>
        <w:t>---</w:t>
      </w:r>
    </w:p>
    <w:p>
      <w:pPr>
        <w:pStyle w:val="Heading2"/>
      </w:pPr>
      <w:r>
        <w:t>Statement 1. Against direct competitors, sales training and consultancies</w:t>
      </w:r>
    </w:p>
    <w:p>
      <w:r>
        <w:t>**Against Sandler, Winning by Design, and general market entry consultancies:**</w:t>
      </w:r>
    </w:p>
    <w:p>
      <w:r>
        <w:t>Not a sales methodology that works anywhere. Arab Tech Export teaches one destination, the United States and Canada, to a company selling from outside it. A method without a destination produces a team that sells well to a buyer it has never met. The engagement ends with the capability inside the client's own team.</w:t>
      </w:r>
    </w:p>
    <w:p>
      <w:r>
        <w:t>---</w:t>
      </w:r>
    </w:p>
    <w:p>
      <w:pPr>
        <w:pStyle w:val="Heading2"/>
      </w:pPr>
      <w:r>
        <w:t>Statement 2. Against indirect competitors, the hire and the agency</w:t>
      </w:r>
    </w:p>
    <w:p>
      <w:r>
        <w:t>**Against hiring a target market sales leader, and against renting an agency:**</w:t>
      </w:r>
    </w:p>
    <w:p>
      <w:r>
        <w:t>Not a question of who knows the market. A hired sales leader knows it first hand and an agency has the relationships already. The question is what remains afterwards. A hire takes the knowledge with them when they leave, and an agency never had it inside your company at all. This builds the capability where it stays.</w:t>
      </w:r>
    </w:p>
    <w:p>
      <w:r>
        <w:t>**Why this form.** It concedes the strongest point the alternatives have rather than disputing it, which is both true and more persuasive than a claim of superior market knowledge that a buyer has no reason to accept from a business with no track record.</w:t>
      </w:r>
    </w:p>
    <w:p>
      <w:r>
        <w:t>---</w:t>
      </w:r>
    </w:p>
    <w:p>
      <w:pPr>
        <w:pStyle w:val="Heading2"/>
      </w:pPr>
      <w:r>
        <w:t>Statement 3. Against the status quo</w:t>
      </w:r>
    </w:p>
    <w:p>
      <w:r>
        <w:t>The status quo for this buyer, per `SKILL-ADAPTATION.md`: keep selling at home and revisit the target market later.</w:t>
      </w:r>
    </w:p>
    <w:p>
      <w:r>
        <w:t>**Against waiting:**</w:t>
      </w:r>
    </w:p>
    <w:p>
      <w:r>
        <w:t>Not a decision between now and later. It is a decision between deliberate and accidental, because the target market conversations are already happening by referral, at conferences, and through inbound that nobody planned for. The question is whether the next one is handled by a team that knows what that buyer checks, or by the same approach that works at home.</w:t>
      </w:r>
    </w:p>
    <w:p>
      <w:r>
        <w:t>**Why this form.** The buyer is established and successful at home. A statement that treats waiting as negligence insults a company that is doing fine. The wedge is that the target market motion already exists in an unmanaged form, which is almost always true and is easy for a founder to verify against their own inbox.</w:t>
      </w:r>
    </w:p>
    <w:p>
      <w:r>
        <w:t>---</w:t>
      </w:r>
    </w:p>
    <w:p>
      <w:pPr>
        <w:pStyle w:val="Heading2"/>
      </w:pPr>
      <w:r>
        <w:t>What these statements deliberately do not say</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Not said</w:t>
            </w:r>
          </w:p>
        </w:tc>
        <w:tc>
          <w:tcPr>
            <w:tcW w:type="dxa" w:w="4320"/>
          </w:tcPr>
          <w:p>
            <w:r>
              <w:rPr>
                <w:b/>
                <w:sz w:val="17"/>
              </w:rPr>
              <w:t>Why</w:t>
            </w:r>
          </w:p>
        </w:tc>
      </w:tr>
      <w:tr>
        <w:tc>
          <w:tcPr>
            <w:tcW w:type="dxa" w:w="4320"/>
          </w:tcPr>
          <w:p>
            <w:r>
              <w:rPr>
                <w:sz w:val="17"/>
              </w:rPr>
              <w:t>Local markets are not ready, or resistant</w:t>
            </w:r>
          </w:p>
        </w:tc>
        <w:tc>
          <w:tcPr>
            <w:tcW w:type="dxa" w:w="4320"/>
          </w:tcPr>
          <w:p>
            <w:r>
              <w:rPr>
                <w:sz w:val="17"/>
              </w:rPr>
              <w:t>Banned. The client's home market is where their revenue comes from</w:t>
            </w:r>
          </w:p>
        </w:tc>
      </w:tr>
      <w:tr>
        <w:tc>
          <w:tcPr>
            <w:tcW w:type="dxa" w:w="4320"/>
          </w:tcPr>
          <w:p>
            <w:r>
              <w:rPr>
                <w:sz w:val="17"/>
              </w:rPr>
              <w:t>Any revenue, growth or market size figure</w:t>
            </w:r>
          </w:p>
        </w:tc>
        <w:tc>
          <w:tcPr>
            <w:tcW w:type="dxa" w:w="4320"/>
          </w:tcPr>
          <w:p>
            <w:r>
              <w:rPr>
                <w:sz w:val="17"/>
              </w:rPr>
              <w:t>Banned in positioning. Cost benchmarks appear only in Phase 9 ROI anchoring, which the adaptation requires</w:t>
            </w:r>
          </w:p>
        </w:tc>
      </w:tr>
      <w:tr>
        <w:tc>
          <w:tcPr>
            <w:tcW w:type="dxa" w:w="4320"/>
          </w:tcPr>
          <w:p>
            <w:r>
              <w:rPr>
                <w:sz w:val="17"/>
              </w:rPr>
              <w:t>The only provider on this route</w:t>
            </w:r>
          </w:p>
        </w:tc>
        <w:tc>
          <w:tcPr>
            <w:tcW w:type="dxa" w:w="4320"/>
          </w:tcPr>
          <w:p>
            <w:r>
              <w:rPr>
                <w:sz w:val="17"/>
              </w:rPr>
              <w:t>Research does not support a superlative. One pass found no named specialist, which is weak evidence</w:t>
            </w:r>
          </w:p>
        </w:tc>
      </w:tr>
      <w:tr>
        <w:tc>
          <w:tcPr>
            <w:tcW w:type="dxa" w:w="4320"/>
          </w:tcPr>
          <w:p>
            <w:r>
              <w:rPr>
                <w:sz w:val="17"/>
              </w:rPr>
              <w:t>Any guarantee of a market entry outcome</w:t>
            </w:r>
          </w:p>
        </w:tc>
        <w:tc>
          <w:tcPr>
            <w:tcW w:type="dxa" w:w="4320"/>
          </w:tcPr>
          <w:p>
            <w:r>
              <w:rPr>
                <w:sz w:val="17"/>
              </w:rPr>
              <w:t>None given</w:t>
            </w:r>
          </w:p>
        </w:tc>
      </w:tr>
      <w:tr>
        <w:tc>
          <w:tcPr>
            <w:tcW w:type="dxa" w:w="4320"/>
          </w:tcPr>
          <w:p>
            <w:r>
              <w:rPr>
                <w:sz w:val="17"/>
              </w:rPr>
              <w:t>Introductions, leads, or a buyer network</w:t>
            </w:r>
          </w:p>
        </w:tc>
        <w:tc>
          <w:tcPr>
            <w:tcW w:type="dxa" w:w="4320"/>
          </w:tcPr>
          <w:p>
            <w:r>
              <w:rPr>
                <w:sz w:val="17"/>
              </w:rPr>
              <w:t>Explicitly not offered, GTM-BRIEF.md Section 3</w:t>
            </w:r>
          </w:p>
        </w:tc>
      </w:tr>
    </w:tbl>
    <w:p/>
    <w:p>
      <w:r>
        <w:t>---</w:t>
      </w:r>
    </w:p>
    <w:p>
      <w:pPr>
        <w:pStyle w:val="Heading2"/>
      </w:pPr>
      <w:r>
        <w:t>Current against projected</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Vector</w:t>
            </w:r>
          </w:p>
        </w:tc>
        <w:tc>
          <w:tcPr>
            <w:tcW w:type="dxa" w:w="2160"/>
          </w:tcPr>
          <w:p>
            <w:r>
              <w:rPr>
                <w:b/>
                <w:sz w:val="17"/>
              </w:rPr>
              <w:t>Current</w:t>
            </w:r>
          </w:p>
        </w:tc>
        <w:tc>
          <w:tcPr>
            <w:tcW w:type="dxa" w:w="2160"/>
          </w:tcPr>
          <w:p>
            <w:r>
              <w:rPr>
                <w:b/>
                <w:sz w:val="17"/>
              </w:rPr>
              <w:t>Projected, 12 months</w:t>
            </w:r>
          </w:p>
        </w:tc>
        <w:tc>
          <w:tcPr>
            <w:tcW w:type="dxa" w:w="2160"/>
          </w:tcPr>
          <w:p>
            <w:r>
              <w:rPr>
                <w:b/>
                <w:sz w:val="17"/>
              </w:rPr>
              <w:t>What moves it</w:t>
            </w:r>
          </w:p>
        </w:tc>
      </w:tr>
      <w:tr>
        <w:tc>
          <w:tcPr>
            <w:tcW w:type="dxa" w:w="2160"/>
          </w:tcPr>
          <w:p>
            <w:r>
              <w:rPr>
                <w:sz w:val="17"/>
              </w:rPr>
              <w:t>Method credibility and track record</w:t>
            </w:r>
          </w:p>
        </w:tc>
        <w:tc>
          <w:tcPr>
            <w:tcW w:type="dxa" w:w="2160"/>
          </w:tcPr>
          <w:p>
            <w:r>
              <w:rPr>
                <w:sz w:val="17"/>
              </w:rPr>
              <w:t>1.8</w:t>
            </w:r>
          </w:p>
        </w:tc>
        <w:tc>
          <w:tcPr>
            <w:tcW w:type="dxa" w:w="2160"/>
          </w:tcPr>
          <w:p>
            <w:r>
              <w:rPr>
                <w:sz w:val="17"/>
              </w:rPr>
              <w:t>5.5</w:t>
            </w:r>
          </w:p>
        </w:tc>
        <w:tc>
          <w:tcPr>
            <w:tcW w:type="dxa" w:w="2160"/>
          </w:tcPr>
          <w:p>
            <w:r>
              <w:rPr>
                <w:sz w:val="17"/>
              </w:rPr>
              <w:t>One completed engagement with permission to reference, plus one institutional partnership</w:t>
            </w:r>
          </w:p>
        </w:tc>
      </w:tr>
      <w:tr>
        <w:tc>
          <w:tcPr>
            <w:tcW w:type="dxa" w:w="2160"/>
          </w:tcPr>
          <w:p>
            <w:r>
              <w:rPr>
                <w:sz w:val="17"/>
              </w:rPr>
              <w:t>Speed to first conversation</w:t>
            </w:r>
          </w:p>
        </w:tc>
        <w:tc>
          <w:tcPr>
            <w:tcW w:type="dxa" w:w="2160"/>
          </w:tcPr>
          <w:p>
            <w:r>
              <w:rPr>
                <w:sz w:val="17"/>
              </w:rPr>
              <w:t>4.2</w:t>
            </w:r>
          </w:p>
        </w:tc>
        <w:tc>
          <w:tcPr>
            <w:tcW w:type="dxa" w:w="2160"/>
          </w:tcPr>
          <w:p>
            <w:r>
              <w:rPr>
                <w:sz w:val="17"/>
              </w:rPr>
              <w:t>4.2</w:t>
            </w:r>
          </w:p>
        </w:tc>
        <w:tc>
          <w:tcPr>
            <w:tcW w:type="dxa" w:w="2160"/>
          </w:tcPr>
          <w:p>
            <w:r>
              <w:rPr>
                <w:sz w:val="17"/>
              </w:rPr>
              <w:t>Not contested. Agencies win this and should</w:t>
            </w:r>
          </w:p>
        </w:tc>
      </w:tr>
      <w:tr>
        <w:tc>
          <w:tcPr>
            <w:tcW w:type="dxa" w:w="2160"/>
          </w:tcPr>
          <w:p>
            <w:r>
              <w:rPr>
                <w:sz w:val="17"/>
              </w:rPr>
              <w:t>Destination market specificity</w:t>
            </w:r>
          </w:p>
        </w:tc>
        <w:tc>
          <w:tcPr>
            <w:tcW w:type="dxa" w:w="2160"/>
          </w:tcPr>
          <w:p>
            <w:r>
              <w:rPr>
                <w:sz w:val="17"/>
              </w:rPr>
              <w:t>9.1</w:t>
            </w:r>
          </w:p>
        </w:tc>
        <w:tc>
          <w:tcPr>
            <w:tcW w:type="dxa" w:w="2160"/>
          </w:tcPr>
          <w:p>
            <w:r>
              <w:rPr>
                <w:sz w:val="17"/>
              </w:rPr>
              <w:t>9.1, defended</w:t>
            </w:r>
          </w:p>
        </w:tc>
        <w:tc>
          <w:tcPr>
            <w:tcW w:type="dxa" w:w="2160"/>
          </w:tcPr>
          <w:p>
            <w:r>
              <w:rPr>
                <w:sz w:val="17"/>
              </w:rPr>
              <w:t>Published buyer teardowns by vertical</w:t>
            </w:r>
          </w:p>
        </w:tc>
      </w:tr>
      <w:tr>
        <w:tc>
          <w:tcPr>
            <w:tcW w:type="dxa" w:w="2160"/>
          </w:tcPr>
          <w:p>
            <w:r>
              <w:rPr>
                <w:sz w:val="17"/>
              </w:rPr>
              <w:t>Capability stays in the client's team</w:t>
            </w:r>
          </w:p>
        </w:tc>
        <w:tc>
          <w:tcPr>
            <w:tcW w:type="dxa" w:w="2160"/>
          </w:tcPr>
          <w:p>
            <w:r>
              <w:rPr>
                <w:sz w:val="17"/>
              </w:rPr>
              <w:t>8.7</w:t>
            </w:r>
          </w:p>
        </w:tc>
        <w:tc>
          <w:tcPr>
            <w:tcW w:type="dxa" w:w="2160"/>
          </w:tcPr>
          <w:p>
            <w:r>
              <w:rPr>
                <w:sz w:val="17"/>
              </w:rPr>
              <w:t>9.2</w:t>
            </w:r>
          </w:p>
        </w:tc>
        <w:tc>
          <w:tcPr>
            <w:tcW w:type="dxa" w:w="2160"/>
          </w:tcPr>
          <w:p>
            <w:r>
              <w:rPr>
                <w:sz w:val="17"/>
              </w:rPr>
              <w:t>A measurable handover artifact at the end of every engagement</w:t>
            </w:r>
          </w:p>
        </w:tc>
      </w:tr>
    </w:tbl>
    <w:p/>
    <w:p>
      <w:r>
        <w:t>Vector 1 is the only one that moves meaningfully, and it moves because of things that have not happened yet rather than because of anything in the marketing.</w:t>
      </w:r>
    </w:p>
    <w:p>
      <w:r>
        <w:t>---</w:t>
      </w:r>
    </w:p>
    <w:p>
      <w:pPr>
        <w:pStyle w:val="Heading2"/>
      </w:pPr>
      <w:r>
        <w:t>Carried forward</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Output</w:t>
            </w:r>
          </w:p>
        </w:tc>
        <w:tc>
          <w:tcPr>
            <w:tcW w:type="dxa" w:w="4320"/>
          </w:tcPr>
          <w:p>
            <w:r>
              <w:rPr>
                <w:b/>
                <w:sz w:val="17"/>
              </w:rPr>
              <w:t>Goes to</w:t>
            </w:r>
          </w:p>
        </w:tc>
      </w:tr>
      <w:tr>
        <w:tc>
          <w:tcPr>
            <w:tcW w:type="dxa" w:w="4320"/>
          </w:tcPr>
          <w:p>
            <w:r>
              <w:rPr>
                <w:sz w:val="17"/>
              </w:rPr>
              <w:t>Statement 2, against the hire</w:t>
            </w:r>
          </w:p>
        </w:tc>
        <w:tc>
          <w:tcPr>
            <w:tcW w:type="dxa" w:w="4320"/>
          </w:tcPr>
          <w:p>
            <w:r>
              <w:rPr>
                <w:sz w:val="17"/>
              </w:rPr>
              <w:t>Phase 6 pillar 2, Phase 9 anchor 2</w:t>
            </w:r>
          </w:p>
        </w:tc>
      </w:tr>
      <w:tr>
        <w:tc>
          <w:tcPr>
            <w:tcW w:type="dxa" w:w="4320"/>
          </w:tcPr>
          <w:p>
            <w:r>
              <w:rPr>
                <w:sz w:val="17"/>
              </w:rPr>
              <w:t>Statement 3, the unmanaged motion already exists</w:t>
            </w:r>
          </w:p>
        </w:tc>
        <w:tc>
          <w:tcPr>
            <w:tcW w:type="dxa" w:w="4320"/>
          </w:tcPr>
          <w:p>
            <w:r>
              <w:rPr>
                <w:sz w:val="17"/>
              </w:rPr>
              <w:t>Phase 7 stage 1, Phase 8</w:t>
            </w:r>
          </w:p>
        </w:tc>
      </w:tr>
      <w:tr>
        <w:tc>
          <w:tcPr>
            <w:tcW w:type="dxa" w:w="4320"/>
          </w:tcPr>
          <w:p>
            <w:r>
              <w:rPr>
                <w:sz w:val="17"/>
              </w:rPr>
              <w:t>Credibility at 1.8 moving to 5.5</w:t>
            </w:r>
          </w:p>
        </w:tc>
        <w:tc>
          <w:tcPr>
            <w:tcW w:type="dxa" w:w="4320"/>
          </w:tcPr>
          <w:p>
            <w:r>
              <w:rPr>
                <w:sz w:val="17"/>
              </w:rPr>
              <w:t>Phase 8 partnerships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