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02-competitive-analysis</w:t>
      </w:r>
    </w:p>
    <w:p>
      <w:r>
        <w:rPr>
          <w:i/>
          <w:color w:val="6B7280"/>
          <w:sz w:val="17"/>
        </w:rPr>
        <w:t>Generated from the Markdown source in deliverables/ by tools/export.py. The Markdown is the source of truth. Edit there and re-run, do not edit this file. Contains the sections from 'Step 2.15' onward.</w:t>
      </w:r>
    </w:p>
    <w:p>
      <w:pPr>
        <w:pStyle w:val="Heading2"/>
      </w:pPr>
      <w:r>
        <w:t>Step 2.15. Category summary</w:t>
      </w:r>
    </w:p>
    <w:p>
      <w:r>
        <w:t>**Vector 1, Arabic accessibility and price fit.** Leader: Egypt FWD, at 9.8, with Hsoub Academy close behind. Impact: free national scale training sets the reference price for the entire category at zero. Every paid offer in this market is priced against free, not against another paid offer. This is the hardest fact in Phase 2 and it drives the Phase 9 floor.</w:t>
      </w:r>
    </w:p>
    <w:p>
      <w:r>
        <w:t>**Vector 2, breadth of craft instruction.** Leader: Hsoub Academy at 9.1. Impact: acquisition comes from the free library. Thousands of articles rank, bring the audience in, and hand them to paid courses. It is a content moat built over years and it is not contestable on a short runway.</w:t>
      </w:r>
    </w:p>
    <w:p>
      <w:r>
        <w:t>**Vector 3, target market buyer specificity.** Leader: Arab Tech Export at 9.4. Impact: this is what makes an audience self select. A builder who wants to reach a North American buyer has no obvious place to go, and the research could not find one. The acquisition consequence is that a single specific asset, the buyer's checklist, does more qualifying work than any amount of general content.</w:t>
      </w:r>
    </w:p>
    <w:p>
      <w:r>
        <w:t>**Vector 4, applied to the member's own live deal.** Leader: Arab Tech Export at 8.9, with The Futur second at 5.2. Impact: this one converts and retains rather than acquires. It is the answer to the 30 to 50 percent first fortnight churn, because a member with their own deal under review has a reason to show up that a curriculum cannot manufacture.</w:t>
      </w:r>
    </w:p>
    <w:p>
      <w:r>
        <w:t>---</w:t>
      </w:r>
    </w:p>
    <w:p>
      <w:pPr>
        <w:pStyle w:val="Heading2"/>
      </w:pPr>
      <w:r>
        <w:t>Step 2.16. Positioning summary</w:t>
      </w:r>
    </w:p>
    <w:p>
      <w:r>
        <w:t>Arab Tech Export can lead this category by refusing the two vectors it cannot win. It will not beat free, and it will not out publish a library built over a decade. What no one in the verified set does is take a specific origin, a specific destination, and a member's actual live deal, and put them in the same room. Every other offer teaches a general capability and leaves the member to work out how it applies to a buyer they have never met. Leading on buyer specificity turns the whole top of funnel into a qualifying instrument, because the people who care about reaching a North American buyer are exactly the people worth having and everyone else leaves on their own.</w:t>
      </w:r>
    </w:p>
    <w:p>
      <w:r>
        <w:t>Growth comes from the second vector rather than the first. Work applied to a live deal is what a member stays for, and the research is blunt about what happens without it: a third to a half of a badly onboarded cohort is gone inside two weeks. Defensibility is thinner than it looks. The method can be copied, the content can be copied, and the price cannot be defended at all against a government funded free programme. What is harder to copy is an accumulated body of specific buyer intelligence and a room of members working live deals in the same direction, which compounds with every cohort and is worth nothing on day one. That gap between day one and compounding is the real risk in this plan, and Phase 5 Step 5.2 is where it gets addressed.</w:t>
      </w:r>
    </w:p>
    <w:p>
      <w:r>
        <w:t>---</w:t>
      </w:r>
    </w:p>
    <w:p>
      <w:pPr>
        <w:pStyle w:val="Heading2"/>
      </w:pPr>
      <w:r>
        <w:t>Carried forward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Output</w:t>
            </w:r>
          </w:p>
        </w:tc>
        <w:tc>
          <w:tcPr>
            <w:tcW w:type="dxa" w:w="4320"/>
          </w:tcPr>
          <w:p>
            <w:r>
              <w:rPr>
                <w:b/>
                <w:sz w:val="17"/>
              </w:rPr>
              <w:t>Goes to</w:t>
            </w:r>
          </w:p>
        </w:tc>
      </w:tr>
      <w:tr>
        <w:tc>
          <w:tcPr>
            <w:tcW w:type="dxa" w:w="4320"/>
          </w:tcPr>
          <w:p>
            <w:r>
              <w:rPr>
                <w:sz w:val="17"/>
              </w:rPr>
              <w:t>Vectors 3 and 4</w:t>
            </w:r>
          </w:p>
        </w:tc>
        <w:tc>
          <w:tcPr>
            <w:tcW w:type="dxa" w:w="4320"/>
          </w:tcPr>
          <w:p>
            <w:r>
              <w:rPr>
                <w:sz w:val="17"/>
              </w:rPr>
              <w:t>Phase 3, Phase 6 pillars, Phase 10 slide 4</w:t>
            </w:r>
          </w:p>
        </w:tc>
      </w:tr>
      <w:tr>
        <w:tc>
          <w:tcPr>
            <w:tcW w:type="dxa" w:w="4320"/>
          </w:tcPr>
          <w:p>
            <w:r>
              <w:rPr>
                <w:sz w:val="17"/>
              </w:rPr>
              <w:t>Free sets the reference price at zero</w:t>
            </w:r>
          </w:p>
        </w:tc>
        <w:tc>
          <w:tcPr>
            <w:tcW w:type="dxa" w:w="4320"/>
          </w:tcPr>
          <w:p>
            <w:r>
              <w:rPr>
                <w:sz w:val="17"/>
              </w:rPr>
              <w:t>Phase 9 floor, Phase 3 statement against status quo</w:t>
            </w:r>
          </w:p>
        </w:tc>
      </w:tr>
      <w:tr>
        <w:tc>
          <w:tcPr>
            <w:tcW w:type="dxa" w:w="4320"/>
          </w:tcPr>
          <w:p>
            <w:r>
              <w:rPr>
                <w:sz w:val="17"/>
              </w:rPr>
              <w:t>No credential, no free library, no buyer access, no payment rail</w:t>
            </w:r>
          </w:p>
        </w:tc>
        <w:tc>
          <w:tcPr>
            <w:tcW w:type="dxa" w:w="4320"/>
          </w:tcPr>
          <w:p>
            <w:r>
              <w:rPr>
                <w:sz w:val="17"/>
              </w:rPr>
              <w:t>Phase 3, Phase 7 blockers, Phase 9 packaging</w:t>
            </w:r>
          </w:p>
        </w:tc>
      </w:tr>
      <w:tr>
        <w:tc>
          <w:tcPr>
            <w:tcW w:type="dxa" w:w="4320"/>
          </w:tcPr>
          <w:p>
            <w:r>
              <w:rPr>
                <w:sz w:val="17"/>
              </w:rPr>
              <w:t>30 to 50 percent first fortnight churn</w:t>
            </w:r>
          </w:p>
        </w:tc>
        <w:tc>
          <w:tcPr>
            <w:tcW w:type="dxa" w:w="4320"/>
          </w:tcPr>
          <w:p>
            <w:r>
              <w:rPr>
                <w:sz w:val="17"/>
              </w:rPr>
              <w:t>Phase 7 stage 5, Phase 5 Step 5.2, Phase 9</w:t>
            </w:r>
          </w:p>
        </w:tc>
      </w:tr>
      <w:tr>
        <w:tc>
          <w:tcPr>
            <w:tcW w:type="dxa" w:w="4320"/>
          </w:tcPr>
          <w:p>
            <w:r>
              <w:rPr>
                <w:sz w:val="17"/>
              </w:rPr>
              <w:t>Slot 2 free creators still unnamed</w:t>
            </w:r>
          </w:p>
        </w:tc>
        <w:tc>
          <w:tcPr>
            <w:tcW w:type="dxa" w:w="4320"/>
          </w:tcPr>
          <w:p>
            <w:r>
              <w:rPr>
                <w:sz w:val="17"/>
              </w:rPr>
              <w:t>Open. See 00-ASSUMPTIONS.md item 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