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eastAsia="Arial"/>
          <w:b/>
          <w:i w:val="0"/>
          <w:color w:val="B7791F"/>
          <w:sz w:val="22"/>
        </w:rPr>
        <w:t>Health Plan Chat</w:t>
      </w:r>
    </w:p>
    <w:p>
      <w:r>
        <w:rPr>
          <w:rFonts w:ascii="Arial" w:hAnsi="Arial" w:eastAsia="Arial"/>
          <w:b/>
          <w:i w:val="0"/>
          <w:color w:val="1F2A44"/>
          <w:sz w:val="40"/>
        </w:rPr>
        <w:t>Value Proposition Framework</w:t>
      </w:r>
    </w:p>
    <w:p>
      <w:r>
        <w:rPr>
          <w:rFonts w:ascii="Arial" w:hAnsi="Arial" w:eastAsia="Arial"/>
          <w:b w:val="0"/>
          <w:i/>
          <w:color w:val="555555"/>
          <w:sz w:val="19"/>
        </w:rPr>
        <w:t>Brand promise and positioning, three value proposition pillars with three reasons to believe each, and a copy drill for every reason to believe. Copy is written to and about the reader, in terms of what the agency gains.</w:t>
      </w:r>
    </w:p>
    <w:p>
      <w:pPr>
        <w:spacing w:before="320"/>
      </w:pPr>
      <w:r>
        <w:rPr>
          <w:rFonts w:ascii="Arial" w:hAnsi="Arial" w:eastAsia="Arial"/>
          <w:b/>
          <w:i w:val="0"/>
          <w:color w:val="1F2A44"/>
          <w:sz w:val="30"/>
        </w:rPr>
        <w:t>Brand Promise and Positioning</w:t>
      </w:r>
    </w:p>
    <w:tbl>
      <w:tblPr>
        <w:tblStyle w:val="TableGrid"/>
        <w:tblW w:type="auto" w:w="0"/>
        <w:tblLook w:firstColumn="1" w:firstRow="1" w:lastColumn="0" w:lastRow="0" w:noHBand="0" w:noVBand="1" w:val="04A0"/>
      </w:tblPr>
      <w:tblGrid>
        <w:gridCol w:w="2736"/>
        <w:gridCol w:w="7344"/>
      </w:tblGrid>
      <w:tr>
        <w:tc>
          <w:tcPr>
            <w:tcW w:type="dxa" w:w="2736"/>
            <w:shd w:val="clear" w:fill="EAEEF5"/>
          </w:tcPr>
          <w:p>
            <w:r/>
            <w:r>
              <w:rPr>
                <w:rFonts w:ascii="Arial" w:hAnsi="Arial" w:eastAsia="Arial"/>
                <w:b/>
                <w:i w:val="0"/>
                <w:color w:val="1F2A44"/>
                <w:sz w:val="20"/>
              </w:rPr>
              <w:t>Brand Promise</w:t>
            </w:r>
          </w:p>
          <w:p>
            <w:r>
              <w:rPr>
                <w:rFonts w:ascii="Arial" w:hAnsi="Arial" w:eastAsia="Arial"/>
                <w:b w:val="0"/>
                <w:i/>
                <w:color w:val="666666"/>
                <w:sz w:val="16"/>
              </w:rPr>
              <w:t>What does your brand promise on a basic level? What is the point? The deliverable?</w:t>
            </w:r>
          </w:p>
        </w:tc>
        <w:tc>
          <w:tcPr>
            <w:tcW w:type="dxa" w:w="7344"/>
          </w:tcPr>
          <w:p>
            <w:r/>
            <w:r>
              <w:rPr>
                <w:rFonts w:ascii="Arial" w:hAnsi="Arial" w:eastAsia="Arial"/>
                <w:b w:val="0"/>
                <w:i w:val="0"/>
                <w:sz w:val="20"/>
              </w:rPr>
              <w:t>Every caller gets a straight answer about their Medicare plan, the dental allowance, the copay, the OTC card, at the moment they ask, in your agency's name, whether or not anyone is in the office.</w:t>
            </w:r>
          </w:p>
        </w:tc>
      </w:tr>
      <w:tr>
        <w:tc>
          <w:tcPr>
            <w:tcW w:type="dxa" w:w="2736"/>
            <w:shd w:val="clear" w:fill="EAEEF5"/>
          </w:tcPr>
          <w:p>
            <w:r/>
            <w:r>
              <w:rPr>
                <w:rFonts w:ascii="Arial" w:hAnsi="Arial" w:eastAsia="Arial"/>
                <w:b/>
                <w:i w:val="0"/>
                <w:color w:val="1F2A44"/>
                <w:sz w:val="20"/>
              </w:rPr>
              <w:t>Positioning</w:t>
            </w:r>
          </w:p>
          <w:p>
            <w:r>
              <w:rPr>
                <w:rFonts w:ascii="Arial" w:hAnsi="Arial" w:eastAsia="Arial"/>
                <w:b w:val="0"/>
                <w:i/>
                <w:color w:val="666666"/>
                <w:sz w:val="16"/>
              </w:rPr>
              <w:t>What is your brand's unique claim? What can only you do?</w:t>
            </w:r>
          </w:p>
        </w:tc>
        <w:tc>
          <w:tcPr>
            <w:tcW w:type="dxa" w:w="7344"/>
          </w:tcPr>
          <w:p>
            <w:r/>
            <w:r>
              <w:rPr>
                <w:rFonts w:ascii="Arial" w:hAnsi="Arial" w:eastAsia="Arial"/>
                <w:b w:val="0"/>
                <w:i w:val="0"/>
                <w:sz w:val="20"/>
              </w:rPr>
              <w:t>The only AI front line trained on the specific Medicare plans your agency sells, answering beneficiaries directly from the carrier's own plan documents, at a price an independent agency can actually carry.</w:t>
            </w:r>
          </w:p>
        </w:tc>
      </w:tr>
    </w:tbl>
    <w:p>
      <w:pPr>
        <w:spacing w:before="320"/>
      </w:pPr>
      <w:r>
        <w:rPr>
          <w:rFonts w:ascii="Arial" w:hAnsi="Arial" w:eastAsia="Arial"/>
          <w:b/>
          <w:i w:val="0"/>
          <w:color w:val="1F2A44"/>
          <w:sz w:val="30"/>
        </w:rPr>
        <w:t>Value Proposition Pillars</w:t>
      </w:r>
    </w:p>
    <w:p>
      <w:r>
        <w:rPr>
          <w:rFonts w:ascii="Arial" w:hAnsi="Arial" w:eastAsia="Arial"/>
          <w:b w:val="0"/>
          <w:i/>
          <w:color w:val="666666"/>
          <w:sz w:val="17"/>
        </w:rPr>
        <w:t>Three value propositions, each with a description and three reasons to believe.</w:t>
      </w:r>
    </w:p>
    <w:tbl>
      <w:tblPr>
        <w:tblStyle w:val="TableGrid"/>
        <w:tblW w:type="auto" w:w="0"/>
        <w:tblLook w:firstColumn="1" w:firstRow="1" w:lastColumn="0" w:lastRow="0" w:noHBand="0" w:noVBand="1" w:val="04A0"/>
      </w:tblPr>
      <w:tblGrid>
        <w:gridCol w:w="1800"/>
        <w:gridCol w:w="2765"/>
        <w:gridCol w:w="2765"/>
        <w:gridCol w:w="2765"/>
      </w:tblGrid>
      <w:tr>
        <w:tc>
          <w:tcPr>
            <w:tcW w:type="dxa" w:w="1800"/>
            <w:shd w:val="clear" w:fill="1F2A44"/>
          </w:tcPr>
          <w:p>
            <w:r/>
            <w:r>
              <w:rPr>
                <w:rFonts w:ascii="Arial" w:hAnsi="Arial" w:eastAsia="Arial"/>
                <w:b/>
                <w:i w:val="0"/>
                <w:color w:val="FFFFFF"/>
                <w:sz w:val="20"/>
              </w:rPr>
            </w:r>
          </w:p>
        </w:tc>
        <w:tc>
          <w:tcPr>
            <w:tcW w:type="dxa" w:w="2765"/>
            <w:shd w:val="clear" w:fill="1F2A44"/>
          </w:tcPr>
          <w:p>
            <w:r/>
            <w:r>
              <w:rPr>
                <w:rFonts w:ascii="Arial" w:hAnsi="Arial" w:eastAsia="Arial"/>
                <w:b/>
                <w:i w:val="0"/>
                <w:color w:val="FFFFFF"/>
                <w:sz w:val="20"/>
              </w:rPr>
              <w:t>Value Proposition 1</w:t>
            </w:r>
          </w:p>
        </w:tc>
        <w:tc>
          <w:tcPr>
            <w:tcW w:type="dxa" w:w="2765"/>
            <w:shd w:val="clear" w:fill="1F2A44"/>
          </w:tcPr>
          <w:p>
            <w:r/>
            <w:r>
              <w:rPr>
                <w:rFonts w:ascii="Arial" w:hAnsi="Arial" w:eastAsia="Arial"/>
                <w:b/>
                <w:i w:val="0"/>
                <w:color w:val="FFFFFF"/>
                <w:sz w:val="20"/>
              </w:rPr>
              <w:t>Value Proposition 2</w:t>
            </w:r>
          </w:p>
        </w:tc>
        <w:tc>
          <w:tcPr>
            <w:tcW w:type="dxa" w:w="2765"/>
            <w:shd w:val="clear" w:fill="1F2A44"/>
          </w:tcPr>
          <w:p>
            <w:r/>
            <w:r>
              <w:rPr>
                <w:rFonts w:ascii="Arial" w:hAnsi="Arial" w:eastAsia="Arial"/>
                <w:b/>
                <w:i w:val="0"/>
                <w:color w:val="FFFFFF"/>
                <w:sz w:val="20"/>
              </w:rPr>
              <w:t>Value Proposition 3</w:t>
            </w:r>
          </w:p>
        </w:tc>
      </w:tr>
      <w:tr>
        <w:tc>
          <w:tcPr>
            <w:tcW w:type="dxa" w:w="1800"/>
            <w:shd w:val="clear" w:fill="EAEEF5"/>
          </w:tcPr>
          <w:p>
            <w:r/>
            <w:r>
              <w:rPr>
                <w:rFonts w:ascii="Arial" w:hAnsi="Arial" w:eastAsia="Arial"/>
                <w:b/>
                <w:i w:val="0"/>
                <w:color w:val="1F2A44"/>
                <w:sz w:val="20"/>
              </w:rPr>
              <w:t>Pillar</w:t>
            </w:r>
          </w:p>
        </w:tc>
        <w:tc>
          <w:tcPr>
            <w:tcW w:type="dxa" w:w="2765"/>
          </w:tcPr>
          <w:p>
            <w:r/>
            <w:r>
              <w:rPr>
                <w:rFonts w:ascii="Arial" w:hAnsi="Arial" w:eastAsia="Arial"/>
                <w:b/>
                <w:i w:val="0"/>
                <w:color w:val="1F2A44"/>
                <w:sz w:val="20"/>
              </w:rPr>
              <w:t>Plan Fluency</w:t>
            </w:r>
          </w:p>
        </w:tc>
        <w:tc>
          <w:tcPr>
            <w:tcW w:type="dxa" w:w="2765"/>
          </w:tcPr>
          <w:p>
            <w:r/>
            <w:r>
              <w:rPr>
                <w:rFonts w:ascii="Arial" w:hAnsi="Arial" w:eastAsia="Arial"/>
                <w:b/>
                <w:i w:val="0"/>
                <w:color w:val="1F2A44"/>
                <w:sz w:val="20"/>
              </w:rPr>
              <w:t>Answers You Can Stand Behind</w:t>
            </w:r>
          </w:p>
        </w:tc>
        <w:tc>
          <w:tcPr>
            <w:tcW w:type="dxa" w:w="2765"/>
          </w:tcPr>
          <w:p>
            <w:r/>
            <w:r>
              <w:rPr>
                <w:rFonts w:ascii="Arial" w:hAnsi="Arial" w:eastAsia="Arial"/>
                <w:b/>
                <w:i w:val="0"/>
                <w:color w:val="1F2A44"/>
                <w:sz w:val="20"/>
              </w:rPr>
              <w:t>Coverage Without the Headcount</w:t>
            </w:r>
          </w:p>
        </w:tc>
      </w:tr>
      <w:tr>
        <w:tc>
          <w:tcPr>
            <w:tcW w:type="dxa" w:w="1800"/>
            <w:shd w:val="clear" w:fill="EAEEF5"/>
          </w:tcPr>
          <w:p>
            <w:r/>
            <w:r>
              <w:rPr>
                <w:rFonts w:ascii="Arial" w:hAnsi="Arial" w:eastAsia="Arial"/>
                <w:b/>
                <w:i w:val="0"/>
                <w:color w:val="1F2A44"/>
                <w:sz w:val="20"/>
              </w:rPr>
              <w:t>Description</w:t>
            </w:r>
          </w:p>
          <w:p>
            <w:r>
              <w:rPr>
                <w:rFonts w:ascii="Arial" w:hAnsi="Arial" w:eastAsia="Arial"/>
                <w:b w:val="0"/>
                <w:i/>
                <w:color w:val="666666"/>
                <w:sz w:val="16"/>
              </w:rPr>
              <w:t>What makes your solution unique? These are your positioning vectors.</w:t>
            </w:r>
          </w:p>
        </w:tc>
        <w:tc>
          <w:tcPr>
            <w:tcW w:type="dxa" w:w="2765"/>
          </w:tcPr>
          <w:p>
            <w:r/>
            <w:r>
              <w:rPr>
                <w:rFonts w:ascii="Arial" w:hAnsi="Arial" w:eastAsia="Arial"/>
                <w:b w:val="0"/>
                <w:i w:val="0"/>
                <w:sz w:val="19"/>
              </w:rPr>
              <w:t>Your callers ask about their plan, not about Medicare in general. They want to know what their dental maximum is, whether their podiatrist is covered, what the OTC card actually pays for. Your AI answers those questions from the plan documents you sell, so the person who calls at nine on a Sunday gets the same answer your best agent would give on a Tuesday morning.</w:t>
            </w:r>
          </w:p>
        </w:tc>
        <w:tc>
          <w:tcPr>
            <w:tcW w:type="dxa" w:w="2765"/>
          </w:tcPr>
          <w:p>
            <w:r/>
            <w:r>
              <w:rPr>
                <w:rFonts w:ascii="Arial" w:hAnsi="Arial" w:eastAsia="Arial"/>
                <w:b w:val="0"/>
                <w:i w:val="0"/>
                <w:sz w:val="19"/>
              </w:rPr>
              <w:t>The reason most people distrust an AI on a coverage question is that most AI deserves it. Yours does not guess. Every answer traces to a carrier document, anything plan-specific hands to your licensed agent with the full conversation attached, and the disclaimer and recording happen without anyone remembering to do them. You get the reach of automation without inheriting its risk.</w:t>
            </w:r>
          </w:p>
        </w:tc>
        <w:tc>
          <w:tcPr>
            <w:tcW w:type="dxa" w:w="2765"/>
          </w:tcPr>
          <w:p>
            <w:r/>
            <w:r>
              <w:rPr>
                <w:rFonts w:ascii="Arial" w:hAnsi="Arial" w:eastAsia="Arial"/>
                <w:b w:val="0"/>
                <w:i w:val="0"/>
                <w:sz w:val="19"/>
              </w:rPr>
              <w:t>You cannot hire your way to an eleven-o'clock Saturday, and you should not have to spend enterprise money to cover one. Your front line answers every call in your agency's name, nights, weekends, AEP overflow, in English or Spanish, for a published monthly price sized for an agency your size, with no demo gate and nothing to sign for a year.</w:t>
            </w:r>
          </w:p>
        </w:tc>
      </w:tr>
      <w:tr>
        <w:tc>
          <w:tcPr>
            <w:tcW w:type="dxa" w:w="1800"/>
            <w:shd w:val="clear" w:fill="EAEEF5"/>
          </w:tcPr>
          <w:p>
            <w:r/>
            <w:r>
              <w:rPr>
                <w:rFonts w:ascii="Arial" w:hAnsi="Arial" w:eastAsia="Arial"/>
                <w:b/>
                <w:i w:val="0"/>
                <w:color w:val="1F2A44"/>
                <w:sz w:val="20"/>
              </w:rPr>
              <w:t>Reasons to Believe</w:t>
            </w:r>
          </w:p>
          <w:p>
            <w:r>
              <w:rPr>
                <w:rFonts w:ascii="Arial" w:hAnsi="Arial" w:eastAsia="Arial"/>
                <w:b w:val="0"/>
                <w:i/>
                <w:color w:val="666666"/>
                <w:sz w:val="16"/>
              </w:rPr>
              <w:t>What is the proof you can deliver on your promise?</w:t>
            </w:r>
          </w:p>
        </w:tc>
        <w:tc>
          <w:tcPr>
            <w:tcW w:type="dxa" w:w="2765"/>
          </w:tcPr>
          <w:p>
            <w:r/>
            <w:r>
              <w:rPr>
                <w:rFonts w:ascii="Arial" w:hAnsi="Arial" w:eastAsia="Arial"/>
                <w:b w:val="0"/>
                <w:i w:val="0"/>
                <w:sz w:val="19"/>
              </w:rPr>
              <w:t>1. Trained on the actual Summary of Benefits and Evidence of Coverage documents for the plans you sell.</w:t>
            </w:r>
          </w:p>
          <w:p>
            <w:r>
              <w:rPr>
                <w:rFonts w:ascii="Arial" w:hAnsi="Arial" w:eastAsia="Arial"/>
                <w:b w:val="0"/>
                <w:i w:val="0"/>
                <w:sz w:val="19"/>
              </w:rPr>
              <w:t>2. Answers the supplemental benefit questions callers actually ask, dental, vision, hearing, transportation, OTC and flex allowances, with your plan's real numbers.</w:t>
            </w:r>
          </w:p>
          <w:p>
            <w:r>
              <w:rPr>
                <w:rFonts w:ascii="Arial" w:hAnsi="Arial" w:eastAsia="Arial"/>
                <w:b w:val="0"/>
                <w:i w:val="0"/>
                <w:sz w:val="19"/>
              </w:rPr>
              <w:t>3. Handles premium, copay and cost-sharing questions for a named plan, and compares across the plans in your book.</w:t>
            </w:r>
          </w:p>
        </w:tc>
        <w:tc>
          <w:tcPr>
            <w:tcW w:type="dxa" w:w="2765"/>
          </w:tcPr>
          <w:p>
            <w:r/>
            <w:r>
              <w:rPr>
                <w:rFonts w:ascii="Arial" w:hAnsi="Arial" w:eastAsia="Arial"/>
                <w:b w:val="0"/>
                <w:i w:val="0"/>
                <w:sz w:val="19"/>
              </w:rPr>
              <w:t>1. Every answer resolves against the carrier's own document, so any claim can be traced back to its source.</w:t>
            </w:r>
          </w:p>
          <w:p>
            <w:r>
              <w:rPr>
                <w:rFonts w:ascii="Arial" w:hAnsi="Arial" w:eastAsia="Arial"/>
                <w:b w:val="0"/>
                <w:i w:val="0"/>
                <w:sz w:val="19"/>
              </w:rPr>
              <w:t>2. Bounded by design: plan-specific guidance escalates to your licensed agent with the whole conversation carried across.</w:t>
            </w:r>
          </w:p>
          <w:p>
            <w:r>
              <w:rPr>
                <w:rFonts w:ascii="Arial" w:hAnsi="Arial" w:eastAsia="Arial"/>
                <w:b w:val="0"/>
                <w:i w:val="0"/>
                <w:sz w:val="19"/>
              </w:rPr>
              <w:t>3. TPMO disclaimer, automated-system disclosure and call recording handled automatically, retained to the CMS ten-year standard.</w:t>
            </w:r>
          </w:p>
        </w:tc>
        <w:tc>
          <w:tcPr>
            <w:tcW w:type="dxa" w:w="2765"/>
          </w:tcPr>
          <w:p>
            <w:r/>
            <w:r>
              <w:rPr>
                <w:rFonts w:ascii="Arial" w:hAnsi="Arial" w:eastAsia="Arial"/>
                <w:b w:val="0"/>
                <w:i w:val="0"/>
                <w:sz w:val="19"/>
              </w:rPr>
              <w:t>1. Answers every call, night and weekend, in your agency's name, with no phone tree, no queue and no AEP overflow going to voicemail.</w:t>
            </w:r>
          </w:p>
          <w:p>
            <w:r>
              <w:rPr>
                <w:rFonts w:ascii="Arial" w:hAnsi="Arial" w:eastAsia="Arial"/>
                <w:b w:val="0"/>
                <w:i w:val="0"/>
                <w:sz w:val="19"/>
              </w:rPr>
              <w:t>2. Published, predictable pricing sized for a three-to-ten agent agency, month to month.</w:t>
            </w:r>
          </w:p>
          <w:p>
            <w:r>
              <w:rPr>
                <w:rFonts w:ascii="Arial" w:hAnsi="Arial" w:eastAsia="Arial"/>
                <w:b w:val="0"/>
                <w:i w:val="0"/>
                <w:sz w:val="19"/>
              </w:rPr>
              <w:t>3. Answers in Spanish from the same plan documents, so a bilingual market converts without a bilingual hire.</w:t>
            </w:r>
          </w:p>
        </w:tc>
      </w:tr>
    </w:tbl>
    <w:p>
      <w:pPr>
        <w:spacing w:before="320"/>
      </w:pPr>
      <w:r>
        <w:rPr>
          <w:rFonts w:ascii="Arial" w:hAnsi="Arial" w:eastAsia="Arial"/>
          <w:b/>
          <w:i w:val="0"/>
          <w:color w:val="1F2A44"/>
          <w:sz w:val="30"/>
        </w:rPr>
        <w:t>Value Proposition Drill Down</w:t>
      </w:r>
    </w:p>
    <w:p>
      <w:r>
        <w:rPr>
          <w:rFonts w:ascii="Arial" w:hAnsi="Arial" w:eastAsia="Arial"/>
          <w:b w:val="0"/>
          <w:i/>
          <w:color w:val="666666"/>
          <w:sz w:val="17"/>
        </w:rPr>
        <w:t>Each reason to believe expanded into a headline and two tiers of copy. On-screen copy and speaker argument share no sentence; the persona line names who each reason is aimed at.</w:t>
      </w:r>
    </w:p>
    <w:p>
      <w:pPr>
        <w:spacing w:before="280"/>
      </w:pPr>
      <w:r>
        <w:rPr>
          <w:rFonts w:ascii="Arial" w:hAnsi="Arial" w:eastAsia="Arial"/>
          <w:b/>
          <w:i w:val="0"/>
          <w:color w:val="1F2A44"/>
          <w:sz w:val="24"/>
        </w:rPr>
        <w:t>Value Proposition: Plan Fluency</w:t>
      </w:r>
    </w:p>
    <w:tbl>
      <w:tblPr>
        <w:tblStyle w:val="TableGrid"/>
        <w:tblW w:type="auto" w:w="0"/>
        <w:tblLook w:firstColumn="1" w:firstRow="1" w:lastColumn="0" w:lastRow="0" w:noHBand="0" w:noVBand="1" w:val="04A0"/>
      </w:tblPr>
      <w:tblGrid>
        <w:gridCol w:w="2736"/>
        <w:gridCol w:w="7344"/>
      </w:tblGrid>
      <w:tr>
        <w:tc>
          <w:tcPr>
            <w:tcW w:type="dxa" w:w="2736"/>
            <w:shd w:val="clear" w:fill="EAEEF5"/>
          </w:tcPr>
          <w:p>
            <w:r/>
            <w:r>
              <w:rPr>
                <w:rFonts w:ascii="Arial" w:hAnsi="Arial" w:eastAsia="Arial"/>
                <w:b/>
                <w:i w:val="0"/>
                <w:color w:val="1F2A44"/>
                <w:sz w:val="20"/>
              </w:rPr>
              <w:t>Reason to Believe (1.1)</w:t>
            </w:r>
          </w:p>
        </w:tc>
        <w:tc>
          <w:tcPr>
            <w:tcW w:type="dxa" w:w="7344"/>
          </w:tcPr>
          <w:p>
            <w:r/>
            <w:r>
              <w:rPr>
                <w:rFonts w:ascii="Arial" w:hAnsi="Arial" w:eastAsia="Arial"/>
                <w:b w:val="0"/>
                <w:i w:val="0"/>
                <w:sz w:val="20"/>
              </w:rPr>
              <w:t>Trained on the actual Summary of Benefits and Evidence of Coverage documents for the plans you sell.</w:t>
            </w:r>
          </w:p>
        </w:tc>
      </w:tr>
      <w:tr>
        <w:tc>
          <w:tcPr>
            <w:tcW w:type="dxa" w:w="2736"/>
            <w:shd w:val="clear" w:fill="EAEEF5"/>
          </w:tcPr>
          <w:p>
            <w:r/>
            <w:r>
              <w:rPr>
                <w:rFonts w:ascii="Arial" w:hAnsi="Arial" w:eastAsia="Arial"/>
                <w:b/>
                <w:i w:val="0"/>
                <w:color w:val="1F2A44"/>
                <w:sz w:val="20"/>
              </w:rPr>
              <w:t>Applicable Persona(s)</w:t>
            </w:r>
          </w:p>
          <w:p>
            <w:r>
              <w:rPr>
                <w:rFonts w:ascii="Arial" w:hAnsi="Arial" w:eastAsia="Arial"/>
                <w:b w:val="0"/>
                <w:i/>
                <w:color w:val="666666"/>
                <w:sz w:val="16"/>
              </w:rPr>
              <w:t>Who is this targeted at?</w:t>
            </w:r>
          </w:p>
        </w:tc>
        <w:tc>
          <w:tcPr>
            <w:tcW w:type="dxa" w:w="7344"/>
          </w:tcPr>
          <w:p>
            <w:r/>
            <w:r>
              <w:rPr>
                <w:rFonts w:ascii="Arial" w:hAnsi="Arial" w:eastAsia="Arial"/>
                <w:b w:val="0"/>
                <w:i w:val="0"/>
                <w:sz w:val="20"/>
              </w:rPr>
              <w:t>Agency Owner / Principal Broker, Licensed Medicare Agent, Front Desk / Office Administrator</w:t>
            </w:r>
          </w:p>
        </w:tc>
      </w:tr>
      <w:tr>
        <w:tc>
          <w:tcPr>
            <w:tcW w:type="dxa" w:w="2736"/>
            <w:shd w:val="clear" w:fill="EAEEF5"/>
          </w:tcPr>
          <w:p>
            <w:r/>
            <w:r>
              <w:rPr>
                <w:rFonts w:ascii="Arial" w:hAnsi="Arial" w:eastAsia="Arial"/>
                <w:b/>
                <w:i w:val="0"/>
                <w:color w:val="1F2A44"/>
                <w:sz w:val="20"/>
              </w:rPr>
              <w:t>Headline</w:t>
            </w:r>
          </w:p>
          <w:p>
            <w:r>
              <w:rPr>
                <w:rFonts w:ascii="Arial" w:hAnsi="Arial" w:eastAsia="Arial"/>
                <w:b w:val="0"/>
                <w:i/>
                <w:color w:val="666666"/>
                <w:sz w:val="16"/>
              </w:rPr>
              <w:t>The main, short copy for this reason to believe.</w:t>
            </w:r>
          </w:p>
        </w:tc>
        <w:tc>
          <w:tcPr>
            <w:tcW w:type="dxa" w:w="7344"/>
          </w:tcPr>
          <w:p>
            <w:r/>
            <w:r>
              <w:rPr>
                <w:rFonts w:ascii="Arial" w:hAnsi="Arial" w:eastAsia="Arial"/>
                <w:b w:val="0"/>
                <w:i w:val="0"/>
                <w:sz w:val="20"/>
              </w:rPr>
              <w:t>It already knows your plans.</w:t>
            </w:r>
          </w:p>
        </w:tc>
      </w:tr>
      <w:tr>
        <w:tc>
          <w:tcPr>
            <w:tcW w:type="dxa" w:w="2736"/>
            <w:shd w:val="clear" w:fill="EAEEF5"/>
          </w:tcPr>
          <w:p>
            <w:r/>
            <w:r>
              <w:rPr>
                <w:rFonts w:ascii="Arial" w:hAnsi="Arial" w:eastAsia="Arial"/>
                <w:b/>
                <w:i w:val="0"/>
                <w:color w:val="1F2A44"/>
                <w:sz w:val="20"/>
              </w:rPr>
              <w:t>Tier 2 Copy</w:t>
            </w:r>
          </w:p>
          <w:p>
            <w:r>
              <w:rPr>
                <w:rFonts w:ascii="Arial" w:hAnsi="Arial" w:eastAsia="Arial"/>
                <w:b w:val="0"/>
                <w:i/>
                <w:color w:val="666666"/>
                <w:sz w:val="16"/>
              </w:rPr>
              <w:t>Longer form, about 25 words.</w:t>
            </w:r>
          </w:p>
        </w:tc>
        <w:tc>
          <w:tcPr>
            <w:tcW w:type="dxa" w:w="7344"/>
          </w:tcPr>
          <w:p>
            <w:r/>
            <w:r>
              <w:rPr>
                <w:rFonts w:ascii="Arial" w:hAnsi="Arial" w:eastAsia="Arial"/>
                <w:b w:val="0"/>
                <w:i w:val="0"/>
                <w:sz w:val="20"/>
              </w:rPr>
              <w:t>Your agent answers from the actual Summary of Benefits and Evidence of Coverage for every plan you sell, not generic Medicare information scraped off the internet.</w:t>
            </w:r>
          </w:p>
        </w:tc>
      </w:tr>
      <w:tr>
        <w:tc>
          <w:tcPr>
            <w:tcW w:type="dxa" w:w="2736"/>
            <w:shd w:val="clear" w:fill="EAEEF5"/>
          </w:tcPr>
          <w:p>
            <w:r/>
            <w:r>
              <w:rPr>
                <w:rFonts w:ascii="Arial" w:hAnsi="Arial" w:eastAsia="Arial"/>
                <w:b/>
                <w:i w:val="0"/>
                <w:color w:val="1F2A44"/>
                <w:sz w:val="20"/>
              </w:rPr>
              <w:t>Tier 3 Copy</w:t>
            </w:r>
          </w:p>
          <w:p>
            <w:r>
              <w:rPr>
                <w:rFonts w:ascii="Arial" w:hAnsi="Arial" w:eastAsia="Arial"/>
                <w:b w:val="0"/>
                <w:i/>
                <w:color w:val="666666"/>
                <w:sz w:val="16"/>
              </w:rPr>
              <w:t>Longest form, 50+ words.</w:t>
            </w:r>
          </w:p>
        </w:tc>
        <w:tc>
          <w:tcPr>
            <w:tcW w:type="dxa" w:w="7344"/>
          </w:tcPr>
          <w:p>
            <w:r/>
            <w:r>
              <w:rPr>
                <w:rFonts w:ascii="Arial" w:hAnsi="Arial" w:eastAsia="Arial"/>
                <w:b w:val="0"/>
                <w:i w:val="0"/>
                <w:sz w:val="20"/>
              </w:rPr>
              <w:t>A single Summary of Benefits runs past fifty pages, and you carry a shelf of them. Right now that knowledge lives in your head and in the heads of the agents you trained, which is why every hard question routes back to you. Hand over the documents for the plans you sell and your front line reads them the way your best agent would: the same numbers, the same plan year, the same county. The caller who reaches you at nine on a Sunday gets the answer, not a promise that someone will call them back.</w:t>
            </w:r>
          </w:p>
        </w:tc>
      </w:tr>
    </w:tbl>
    <w:p/>
    <w:tbl>
      <w:tblPr>
        <w:tblStyle w:val="TableGrid"/>
        <w:tblW w:type="auto" w:w="0"/>
        <w:tblLook w:firstColumn="1" w:firstRow="1" w:lastColumn="0" w:lastRow="0" w:noHBand="0" w:noVBand="1" w:val="04A0"/>
      </w:tblPr>
      <w:tblGrid>
        <w:gridCol w:w="2736"/>
        <w:gridCol w:w="7344"/>
      </w:tblGrid>
      <w:tr>
        <w:tc>
          <w:tcPr>
            <w:tcW w:type="dxa" w:w="2736"/>
            <w:shd w:val="clear" w:fill="EAEEF5"/>
          </w:tcPr>
          <w:p>
            <w:r/>
            <w:r>
              <w:rPr>
                <w:rFonts w:ascii="Arial" w:hAnsi="Arial" w:eastAsia="Arial"/>
                <w:b/>
                <w:i w:val="0"/>
                <w:color w:val="1F2A44"/>
                <w:sz w:val="20"/>
              </w:rPr>
              <w:t>Reason to Believe (1.2)</w:t>
            </w:r>
          </w:p>
        </w:tc>
        <w:tc>
          <w:tcPr>
            <w:tcW w:type="dxa" w:w="7344"/>
          </w:tcPr>
          <w:p>
            <w:r/>
            <w:r>
              <w:rPr>
                <w:rFonts w:ascii="Arial" w:hAnsi="Arial" w:eastAsia="Arial"/>
                <w:b w:val="0"/>
                <w:i w:val="0"/>
                <w:sz w:val="20"/>
              </w:rPr>
              <w:t>Answers the supplemental benefit questions callers actually ask, with your plan's real numbers.</w:t>
            </w:r>
          </w:p>
        </w:tc>
      </w:tr>
      <w:tr>
        <w:tc>
          <w:tcPr>
            <w:tcW w:type="dxa" w:w="2736"/>
            <w:shd w:val="clear" w:fill="EAEEF5"/>
          </w:tcPr>
          <w:p>
            <w:r/>
            <w:r>
              <w:rPr>
                <w:rFonts w:ascii="Arial" w:hAnsi="Arial" w:eastAsia="Arial"/>
                <w:b/>
                <w:i w:val="0"/>
                <w:color w:val="1F2A44"/>
                <w:sz w:val="20"/>
              </w:rPr>
              <w:t>Applicable Persona(s)</w:t>
            </w:r>
          </w:p>
          <w:p>
            <w:r>
              <w:rPr>
                <w:rFonts w:ascii="Arial" w:hAnsi="Arial" w:eastAsia="Arial"/>
                <w:b w:val="0"/>
                <w:i/>
                <w:color w:val="666666"/>
                <w:sz w:val="16"/>
              </w:rPr>
              <w:t>Who is this targeted at?</w:t>
            </w:r>
          </w:p>
        </w:tc>
        <w:tc>
          <w:tcPr>
            <w:tcW w:type="dxa" w:w="7344"/>
          </w:tcPr>
          <w:p>
            <w:r/>
            <w:r>
              <w:rPr>
                <w:rFonts w:ascii="Arial" w:hAnsi="Arial" w:eastAsia="Arial"/>
                <w:b w:val="0"/>
                <w:i w:val="0"/>
                <w:sz w:val="20"/>
              </w:rPr>
              <w:t>Licensed Medicare Agent, Front Desk / Office Administrator, Sales Manager</w:t>
            </w:r>
          </w:p>
        </w:tc>
      </w:tr>
      <w:tr>
        <w:tc>
          <w:tcPr>
            <w:tcW w:type="dxa" w:w="2736"/>
            <w:shd w:val="clear" w:fill="EAEEF5"/>
          </w:tcPr>
          <w:p>
            <w:r/>
            <w:r>
              <w:rPr>
                <w:rFonts w:ascii="Arial" w:hAnsi="Arial" w:eastAsia="Arial"/>
                <w:b/>
                <w:i w:val="0"/>
                <w:color w:val="1F2A44"/>
                <w:sz w:val="20"/>
              </w:rPr>
              <w:t>Headline</w:t>
            </w:r>
          </w:p>
          <w:p>
            <w:r>
              <w:rPr>
                <w:rFonts w:ascii="Arial" w:hAnsi="Arial" w:eastAsia="Arial"/>
                <w:b w:val="0"/>
                <w:i/>
                <w:color w:val="666666"/>
                <w:sz w:val="16"/>
              </w:rPr>
              <w:t>The main, short copy for this reason to believe.</w:t>
            </w:r>
          </w:p>
        </w:tc>
        <w:tc>
          <w:tcPr>
            <w:tcW w:type="dxa" w:w="7344"/>
          </w:tcPr>
          <w:p>
            <w:r/>
            <w:r>
              <w:rPr>
                <w:rFonts w:ascii="Arial" w:hAnsi="Arial" w:eastAsia="Arial"/>
                <w:b w:val="0"/>
                <w:i w:val="0"/>
                <w:sz w:val="20"/>
              </w:rPr>
              <w:t>The questions they actually call about.</w:t>
            </w:r>
          </w:p>
        </w:tc>
      </w:tr>
      <w:tr>
        <w:tc>
          <w:tcPr>
            <w:tcW w:type="dxa" w:w="2736"/>
            <w:shd w:val="clear" w:fill="EAEEF5"/>
          </w:tcPr>
          <w:p>
            <w:r/>
            <w:r>
              <w:rPr>
                <w:rFonts w:ascii="Arial" w:hAnsi="Arial" w:eastAsia="Arial"/>
                <w:b/>
                <w:i w:val="0"/>
                <w:color w:val="1F2A44"/>
                <w:sz w:val="20"/>
              </w:rPr>
              <w:t>Tier 2 Copy</w:t>
            </w:r>
          </w:p>
          <w:p>
            <w:r>
              <w:rPr>
                <w:rFonts w:ascii="Arial" w:hAnsi="Arial" w:eastAsia="Arial"/>
                <w:b w:val="0"/>
                <w:i/>
                <w:color w:val="666666"/>
                <w:sz w:val="16"/>
              </w:rPr>
              <w:t>Longer form, about 25 words.</w:t>
            </w:r>
          </w:p>
        </w:tc>
        <w:tc>
          <w:tcPr>
            <w:tcW w:type="dxa" w:w="7344"/>
          </w:tcPr>
          <w:p>
            <w:r/>
            <w:r>
              <w:rPr>
                <w:rFonts w:ascii="Arial" w:hAnsi="Arial" w:eastAsia="Arial"/>
                <w:b w:val="0"/>
                <w:i w:val="0"/>
                <w:sz w:val="20"/>
              </w:rPr>
              <w:t>Dental maximums, hearing aid allowances, the OTC card balance, rides to appointments. The questions that fill your phone, answered with your plan's real numbers.</w:t>
            </w:r>
          </w:p>
        </w:tc>
      </w:tr>
      <w:tr>
        <w:tc>
          <w:tcPr>
            <w:tcW w:type="dxa" w:w="2736"/>
            <w:shd w:val="clear" w:fill="EAEEF5"/>
          </w:tcPr>
          <w:p>
            <w:r/>
            <w:r>
              <w:rPr>
                <w:rFonts w:ascii="Arial" w:hAnsi="Arial" w:eastAsia="Arial"/>
                <w:b/>
                <w:i w:val="0"/>
                <w:color w:val="1F2A44"/>
                <w:sz w:val="20"/>
              </w:rPr>
              <w:t>Tier 3 Copy</w:t>
            </w:r>
          </w:p>
          <w:p>
            <w:r>
              <w:rPr>
                <w:rFonts w:ascii="Arial" w:hAnsi="Arial" w:eastAsia="Arial"/>
                <w:b w:val="0"/>
                <w:i/>
                <w:color w:val="666666"/>
                <w:sz w:val="16"/>
              </w:rPr>
              <w:t>Longest form, 50+ words.</w:t>
            </w:r>
          </w:p>
        </w:tc>
        <w:tc>
          <w:tcPr>
            <w:tcW w:type="dxa" w:w="7344"/>
          </w:tcPr>
          <w:p>
            <w:r/>
            <w:r>
              <w:rPr>
                <w:rFonts w:ascii="Arial" w:hAnsi="Arial" w:eastAsia="Arial"/>
                <w:b w:val="0"/>
                <w:i w:val="0"/>
                <w:sz w:val="20"/>
              </w:rPr>
              <w:t>Nobody calls to ask what Medicare Advantage is. They call because a neighbour mentioned a flex card, or because they need an implant and want to know what the plan pays. Those questions are specific, they are the reason the phone rang, and a generic assistant cannot touch them. Yours answers with the actual allowance on the actual plan, which is what turns a caller into a client, because the person who answered the question is the person they trust to write the application.</w:t>
            </w:r>
          </w:p>
        </w:tc>
      </w:tr>
    </w:tbl>
    <w:p/>
    <w:tbl>
      <w:tblPr>
        <w:tblStyle w:val="TableGrid"/>
        <w:tblW w:type="auto" w:w="0"/>
        <w:tblLook w:firstColumn="1" w:firstRow="1" w:lastColumn="0" w:lastRow="0" w:noHBand="0" w:noVBand="1" w:val="04A0"/>
      </w:tblPr>
      <w:tblGrid>
        <w:gridCol w:w="2736"/>
        <w:gridCol w:w="7344"/>
      </w:tblGrid>
      <w:tr>
        <w:tc>
          <w:tcPr>
            <w:tcW w:type="dxa" w:w="2736"/>
            <w:shd w:val="clear" w:fill="EAEEF5"/>
          </w:tcPr>
          <w:p>
            <w:r/>
            <w:r>
              <w:rPr>
                <w:rFonts w:ascii="Arial" w:hAnsi="Arial" w:eastAsia="Arial"/>
                <w:b/>
                <w:i w:val="0"/>
                <w:color w:val="1F2A44"/>
                <w:sz w:val="20"/>
              </w:rPr>
              <w:t>Reason to Believe (1.3)</w:t>
            </w:r>
          </w:p>
        </w:tc>
        <w:tc>
          <w:tcPr>
            <w:tcW w:type="dxa" w:w="7344"/>
          </w:tcPr>
          <w:p>
            <w:r/>
            <w:r>
              <w:rPr>
                <w:rFonts w:ascii="Arial" w:hAnsi="Arial" w:eastAsia="Arial"/>
                <w:b w:val="0"/>
                <w:i w:val="0"/>
                <w:sz w:val="20"/>
              </w:rPr>
              <w:t>Handles premium, copay and cost-sharing questions for a named plan, and compares across the plans in your book.</w:t>
            </w:r>
          </w:p>
        </w:tc>
      </w:tr>
      <w:tr>
        <w:tc>
          <w:tcPr>
            <w:tcW w:type="dxa" w:w="2736"/>
            <w:shd w:val="clear" w:fill="EAEEF5"/>
          </w:tcPr>
          <w:p>
            <w:r/>
            <w:r>
              <w:rPr>
                <w:rFonts w:ascii="Arial" w:hAnsi="Arial" w:eastAsia="Arial"/>
                <w:b/>
                <w:i w:val="0"/>
                <w:color w:val="1F2A44"/>
                <w:sz w:val="20"/>
              </w:rPr>
              <w:t>Applicable Persona(s)</w:t>
            </w:r>
          </w:p>
          <w:p>
            <w:r>
              <w:rPr>
                <w:rFonts w:ascii="Arial" w:hAnsi="Arial" w:eastAsia="Arial"/>
                <w:b w:val="0"/>
                <w:i/>
                <w:color w:val="666666"/>
                <w:sz w:val="16"/>
              </w:rPr>
              <w:t>Who is this targeted at?</w:t>
            </w:r>
          </w:p>
        </w:tc>
        <w:tc>
          <w:tcPr>
            <w:tcW w:type="dxa" w:w="7344"/>
          </w:tcPr>
          <w:p>
            <w:r/>
            <w:r>
              <w:rPr>
                <w:rFonts w:ascii="Arial" w:hAnsi="Arial" w:eastAsia="Arial"/>
                <w:b w:val="0"/>
                <w:i w:val="0"/>
                <w:sz w:val="20"/>
              </w:rPr>
              <w:t>Licensed Medicare Agent, Agency Owner / Principal Broker, Sales Manager</w:t>
            </w:r>
          </w:p>
        </w:tc>
      </w:tr>
      <w:tr>
        <w:tc>
          <w:tcPr>
            <w:tcW w:type="dxa" w:w="2736"/>
            <w:shd w:val="clear" w:fill="EAEEF5"/>
          </w:tcPr>
          <w:p>
            <w:r/>
            <w:r>
              <w:rPr>
                <w:rFonts w:ascii="Arial" w:hAnsi="Arial" w:eastAsia="Arial"/>
                <w:b/>
                <w:i w:val="0"/>
                <w:color w:val="1F2A44"/>
                <w:sz w:val="20"/>
              </w:rPr>
              <w:t>Headline</w:t>
            </w:r>
          </w:p>
          <w:p>
            <w:r>
              <w:rPr>
                <w:rFonts w:ascii="Arial" w:hAnsi="Arial" w:eastAsia="Arial"/>
                <w:b w:val="0"/>
                <w:i/>
                <w:color w:val="666666"/>
                <w:sz w:val="16"/>
              </w:rPr>
              <w:t>The main, short copy for this reason to believe.</w:t>
            </w:r>
          </w:p>
        </w:tc>
        <w:tc>
          <w:tcPr>
            <w:tcW w:type="dxa" w:w="7344"/>
          </w:tcPr>
          <w:p>
            <w:r/>
            <w:r>
              <w:rPr>
                <w:rFonts w:ascii="Arial" w:hAnsi="Arial" w:eastAsia="Arial"/>
                <w:b w:val="0"/>
                <w:i w:val="0"/>
                <w:sz w:val="20"/>
              </w:rPr>
              <w:t>What it costs, plan by plan.</w:t>
            </w:r>
          </w:p>
        </w:tc>
      </w:tr>
      <w:tr>
        <w:tc>
          <w:tcPr>
            <w:tcW w:type="dxa" w:w="2736"/>
            <w:shd w:val="clear" w:fill="EAEEF5"/>
          </w:tcPr>
          <w:p>
            <w:r/>
            <w:r>
              <w:rPr>
                <w:rFonts w:ascii="Arial" w:hAnsi="Arial" w:eastAsia="Arial"/>
                <w:b/>
                <w:i w:val="0"/>
                <w:color w:val="1F2A44"/>
                <w:sz w:val="20"/>
              </w:rPr>
              <w:t>Tier 2 Copy</w:t>
            </w:r>
          </w:p>
          <w:p>
            <w:r>
              <w:rPr>
                <w:rFonts w:ascii="Arial" w:hAnsi="Arial" w:eastAsia="Arial"/>
                <w:b w:val="0"/>
                <w:i/>
                <w:color w:val="666666"/>
                <w:sz w:val="16"/>
              </w:rPr>
              <w:t>Longer form, about 25 words.</w:t>
            </w:r>
          </w:p>
        </w:tc>
        <w:tc>
          <w:tcPr>
            <w:tcW w:type="dxa" w:w="7344"/>
          </w:tcPr>
          <w:p>
            <w:r/>
            <w:r>
              <w:rPr>
                <w:rFonts w:ascii="Arial" w:hAnsi="Arial" w:eastAsia="Arial"/>
                <w:b w:val="0"/>
                <w:i w:val="0"/>
                <w:sz w:val="20"/>
              </w:rPr>
              <w:t>Premiums, copays and cost-sharing for a specific plan, and an honest comparison across the plans you carry, so callers arrive already informed.</w:t>
            </w:r>
          </w:p>
        </w:tc>
      </w:tr>
      <w:tr>
        <w:tc>
          <w:tcPr>
            <w:tcW w:type="dxa" w:w="2736"/>
            <w:shd w:val="clear" w:fill="EAEEF5"/>
          </w:tcPr>
          <w:p>
            <w:r/>
            <w:r>
              <w:rPr>
                <w:rFonts w:ascii="Arial" w:hAnsi="Arial" w:eastAsia="Arial"/>
                <w:b/>
                <w:i w:val="0"/>
                <w:color w:val="1F2A44"/>
                <w:sz w:val="20"/>
              </w:rPr>
              <w:t>Tier 3 Copy</w:t>
            </w:r>
          </w:p>
          <w:p>
            <w:r>
              <w:rPr>
                <w:rFonts w:ascii="Arial" w:hAnsi="Arial" w:eastAsia="Arial"/>
                <w:b w:val="0"/>
                <w:i/>
                <w:color w:val="666666"/>
                <w:sz w:val="16"/>
              </w:rPr>
              <w:t>Longest form, 50+ words.</w:t>
            </w:r>
          </w:p>
        </w:tc>
        <w:tc>
          <w:tcPr>
            <w:tcW w:type="dxa" w:w="7344"/>
          </w:tcPr>
          <w:p>
            <w:r/>
            <w:r>
              <w:rPr>
                <w:rFonts w:ascii="Arial" w:hAnsi="Arial" w:eastAsia="Arial"/>
                <w:b w:val="0"/>
                <w:i w:val="0"/>
                <w:sz w:val="20"/>
              </w:rPr>
              <w:t>Cost is the second question, always, and it is the one that decides whether someone books an appointment or keeps shopping. Your agent answers it plainly for a named plan, then lays the options in your book side by side without steering anyone. By the time a caller reaches your licensed agent they already understand the trade-offs, so the appointment starts at the decision instead of the explanation: shorter calls, better-fitting plans, and fewer of the mismatches that turn into complaints in February.</w:t>
            </w:r>
          </w:p>
        </w:tc>
      </w:tr>
    </w:tbl>
    <w:p/>
    <w:p>
      <w:pPr>
        <w:spacing w:before="280"/>
      </w:pPr>
      <w:r>
        <w:rPr>
          <w:rFonts w:ascii="Arial" w:hAnsi="Arial" w:eastAsia="Arial"/>
          <w:b/>
          <w:i w:val="0"/>
          <w:color w:val="1F2A44"/>
          <w:sz w:val="24"/>
        </w:rPr>
        <w:t>Value Proposition: Answers You Can Stand Behind</w:t>
      </w:r>
    </w:p>
    <w:tbl>
      <w:tblPr>
        <w:tblStyle w:val="TableGrid"/>
        <w:tblW w:type="auto" w:w="0"/>
        <w:tblLook w:firstColumn="1" w:firstRow="1" w:lastColumn="0" w:lastRow="0" w:noHBand="0" w:noVBand="1" w:val="04A0"/>
      </w:tblPr>
      <w:tblGrid>
        <w:gridCol w:w="2736"/>
        <w:gridCol w:w="7344"/>
      </w:tblGrid>
      <w:tr>
        <w:tc>
          <w:tcPr>
            <w:tcW w:type="dxa" w:w="2736"/>
            <w:shd w:val="clear" w:fill="EAEEF5"/>
          </w:tcPr>
          <w:p>
            <w:r/>
            <w:r>
              <w:rPr>
                <w:rFonts w:ascii="Arial" w:hAnsi="Arial" w:eastAsia="Arial"/>
                <w:b/>
                <w:i w:val="0"/>
                <w:color w:val="1F2A44"/>
                <w:sz w:val="20"/>
              </w:rPr>
              <w:t>Reason to Believe (2.1)</w:t>
            </w:r>
          </w:p>
        </w:tc>
        <w:tc>
          <w:tcPr>
            <w:tcW w:type="dxa" w:w="7344"/>
          </w:tcPr>
          <w:p>
            <w:r/>
            <w:r>
              <w:rPr>
                <w:rFonts w:ascii="Arial" w:hAnsi="Arial" w:eastAsia="Arial"/>
                <w:b w:val="0"/>
                <w:i w:val="0"/>
                <w:sz w:val="20"/>
              </w:rPr>
              <w:t>Every answer resolves against the carrier's own document, so any claim can be traced back to its source.</w:t>
            </w:r>
          </w:p>
        </w:tc>
      </w:tr>
      <w:tr>
        <w:tc>
          <w:tcPr>
            <w:tcW w:type="dxa" w:w="2736"/>
            <w:shd w:val="clear" w:fill="EAEEF5"/>
          </w:tcPr>
          <w:p>
            <w:r/>
            <w:r>
              <w:rPr>
                <w:rFonts w:ascii="Arial" w:hAnsi="Arial" w:eastAsia="Arial"/>
                <w:b/>
                <w:i w:val="0"/>
                <w:color w:val="1F2A44"/>
                <w:sz w:val="20"/>
              </w:rPr>
              <w:t>Applicable Persona(s)</w:t>
            </w:r>
          </w:p>
          <w:p>
            <w:r>
              <w:rPr>
                <w:rFonts w:ascii="Arial" w:hAnsi="Arial" w:eastAsia="Arial"/>
                <w:b w:val="0"/>
                <w:i/>
                <w:color w:val="666666"/>
                <w:sz w:val="16"/>
              </w:rPr>
              <w:t>Who is this targeted at?</w:t>
            </w:r>
          </w:p>
        </w:tc>
        <w:tc>
          <w:tcPr>
            <w:tcW w:type="dxa" w:w="7344"/>
          </w:tcPr>
          <w:p>
            <w:r/>
            <w:r>
              <w:rPr>
                <w:rFonts w:ascii="Arial" w:hAnsi="Arial" w:eastAsia="Arial"/>
                <w:b w:val="0"/>
                <w:i w:val="0"/>
                <w:sz w:val="20"/>
              </w:rPr>
              <w:t>Agency Owner / Principal Broker, Compliance Officer, Director of Operations</w:t>
            </w:r>
          </w:p>
        </w:tc>
      </w:tr>
      <w:tr>
        <w:tc>
          <w:tcPr>
            <w:tcW w:type="dxa" w:w="2736"/>
            <w:shd w:val="clear" w:fill="EAEEF5"/>
          </w:tcPr>
          <w:p>
            <w:r/>
            <w:r>
              <w:rPr>
                <w:rFonts w:ascii="Arial" w:hAnsi="Arial" w:eastAsia="Arial"/>
                <w:b/>
                <w:i w:val="0"/>
                <w:color w:val="1F2A44"/>
                <w:sz w:val="20"/>
              </w:rPr>
              <w:t>Headline</w:t>
            </w:r>
          </w:p>
          <w:p>
            <w:r>
              <w:rPr>
                <w:rFonts w:ascii="Arial" w:hAnsi="Arial" w:eastAsia="Arial"/>
                <w:b w:val="0"/>
                <w:i/>
                <w:color w:val="666666"/>
                <w:sz w:val="16"/>
              </w:rPr>
              <w:t>The main, short copy for this reason to believe.</w:t>
            </w:r>
          </w:p>
        </w:tc>
        <w:tc>
          <w:tcPr>
            <w:tcW w:type="dxa" w:w="7344"/>
          </w:tcPr>
          <w:p>
            <w:r/>
            <w:r>
              <w:rPr>
                <w:rFonts w:ascii="Arial" w:hAnsi="Arial" w:eastAsia="Arial"/>
                <w:b w:val="0"/>
                <w:i w:val="0"/>
                <w:sz w:val="20"/>
              </w:rPr>
              <w:t>Every answer has a source.</w:t>
            </w:r>
          </w:p>
        </w:tc>
      </w:tr>
      <w:tr>
        <w:tc>
          <w:tcPr>
            <w:tcW w:type="dxa" w:w="2736"/>
            <w:shd w:val="clear" w:fill="EAEEF5"/>
          </w:tcPr>
          <w:p>
            <w:r/>
            <w:r>
              <w:rPr>
                <w:rFonts w:ascii="Arial" w:hAnsi="Arial" w:eastAsia="Arial"/>
                <w:b/>
                <w:i w:val="0"/>
                <w:color w:val="1F2A44"/>
                <w:sz w:val="20"/>
              </w:rPr>
              <w:t>Tier 2 Copy</w:t>
            </w:r>
          </w:p>
          <w:p>
            <w:r>
              <w:rPr>
                <w:rFonts w:ascii="Arial" w:hAnsi="Arial" w:eastAsia="Arial"/>
                <w:b w:val="0"/>
                <w:i/>
                <w:color w:val="666666"/>
                <w:sz w:val="16"/>
              </w:rPr>
              <w:t>Longer form, about 25 words.</w:t>
            </w:r>
          </w:p>
        </w:tc>
        <w:tc>
          <w:tcPr>
            <w:tcW w:type="dxa" w:w="7344"/>
          </w:tcPr>
          <w:p>
            <w:r/>
            <w:r>
              <w:rPr>
                <w:rFonts w:ascii="Arial" w:hAnsi="Arial" w:eastAsia="Arial"/>
                <w:b w:val="0"/>
                <w:i w:val="0"/>
                <w:sz w:val="20"/>
              </w:rPr>
              <w:t>Nothing is improvised. Each answer resolves against the carrier's own plan document, so you can show exactly where it came from when someone asks.</w:t>
            </w:r>
          </w:p>
        </w:tc>
      </w:tr>
      <w:tr>
        <w:tc>
          <w:tcPr>
            <w:tcW w:type="dxa" w:w="2736"/>
            <w:shd w:val="clear" w:fill="EAEEF5"/>
          </w:tcPr>
          <w:p>
            <w:r/>
            <w:r>
              <w:rPr>
                <w:rFonts w:ascii="Arial" w:hAnsi="Arial" w:eastAsia="Arial"/>
                <w:b/>
                <w:i w:val="0"/>
                <w:color w:val="1F2A44"/>
                <w:sz w:val="20"/>
              </w:rPr>
              <w:t>Tier 3 Copy</w:t>
            </w:r>
          </w:p>
          <w:p>
            <w:r>
              <w:rPr>
                <w:rFonts w:ascii="Arial" w:hAnsi="Arial" w:eastAsia="Arial"/>
                <w:b w:val="0"/>
                <w:i/>
                <w:color w:val="666666"/>
                <w:sz w:val="16"/>
              </w:rPr>
              <w:t>Longest form, 50+ words.</w:t>
            </w:r>
          </w:p>
        </w:tc>
        <w:tc>
          <w:tcPr>
            <w:tcW w:type="dxa" w:w="7344"/>
          </w:tcPr>
          <w:p>
            <w:r/>
            <w:r>
              <w:rPr>
                <w:rFonts w:ascii="Arial" w:hAnsi="Arial" w:eastAsia="Arial"/>
                <w:b w:val="0"/>
                <w:i w:val="0"/>
                <w:sz w:val="20"/>
              </w:rPr>
              <w:t>The risk with a general-purpose bot is not that it sounds wrong, it is that it sounds right while inventing a copay. You carry that liability, not the vendor. Your agent works the other way round: it answers only what the carrier's own document supports, and every response can be traced to the page it came from. When a client questions what they were told, or a carrier asks, you have the document and the recording rather than a recollection.</w:t>
            </w:r>
          </w:p>
        </w:tc>
      </w:tr>
    </w:tbl>
    <w:p/>
    <w:tbl>
      <w:tblPr>
        <w:tblStyle w:val="TableGrid"/>
        <w:tblW w:type="auto" w:w="0"/>
        <w:tblLook w:firstColumn="1" w:firstRow="1" w:lastColumn="0" w:lastRow="0" w:noHBand="0" w:noVBand="1" w:val="04A0"/>
      </w:tblPr>
      <w:tblGrid>
        <w:gridCol w:w="2736"/>
        <w:gridCol w:w="7344"/>
      </w:tblGrid>
      <w:tr>
        <w:tc>
          <w:tcPr>
            <w:tcW w:type="dxa" w:w="2736"/>
            <w:shd w:val="clear" w:fill="EAEEF5"/>
          </w:tcPr>
          <w:p>
            <w:r/>
            <w:r>
              <w:rPr>
                <w:rFonts w:ascii="Arial" w:hAnsi="Arial" w:eastAsia="Arial"/>
                <w:b/>
                <w:i w:val="0"/>
                <w:color w:val="1F2A44"/>
                <w:sz w:val="20"/>
              </w:rPr>
              <w:t>Reason to Believe (2.2)</w:t>
            </w:r>
          </w:p>
        </w:tc>
        <w:tc>
          <w:tcPr>
            <w:tcW w:type="dxa" w:w="7344"/>
          </w:tcPr>
          <w:p>
            <w:r/>
            <w:r>
              <w:rPr>
                <w:rFonts w:ascii="Arial" w:hAnsi="Arial" w:eastAsia="Arial"/>
                <w:b w:val="0"/>
                <w:i w:val="0"/>
                <w:sz w:val="20"/>
              </w:rPr>
              <w:t>Bounded by design: plan-specific guidance escalates to your licensed agent with the whole conversation carried across.</w:t>
            </w:r>
          </w:p>
        </w:tc>
      </w:tr>
      <w:tr>
        <w:tc>
          <w:tcPr>
            <w:tcW w:type="dxa" w:w="2736"/>
            <w:shd w:val="clear" w:fill="EAEEF5"/>
          </w:tcPr>
          <w:p>
            <w:r/>
            <w:r>
              <w:rPr>
                <w:rFonts w:ascii="Arial" w:hAnsi="Arial" w:eastAsia="Arial"/>
                <w:b/>
                <w:i w:val="0"/>
                <w:color w:val="1F2A44"/>
                <w:sz w:val="20"/>
              </w:rPr>
              <w:t>Applicable Persona(s)</w:t>
            </w:r>
          </w:p>
          <w:p>
            <w:r>
              <w:rPr>
                <w:rFonts w:ascii="Arial" w:hAnsi="Arial" w:eastAsia="Arial"/>
                <w:b w:val="0"/>
                <w:i/>
                <w:color w:val="666666"/>
                <w:sz w:val="16"/>
              </w:rPr>
              <w:t>Who is this targeted at?</w:t>
            </w:r>
          </w:p>
        </w:tc>
        <w:tc>
          <w:tcPr>
            <w:tcW w:type="dxa" w:w="7344"/>
          </w:tcPr>
          <w:p>
            <w:r/>
            <w:r>
              <w:rPr>
                <w:rFonts w:ascii="Arial" w:hAnsi="Arial" w:eastAsia="Arial"/>
                <w:b w:val="0"/>
                <w:i w:val="0"/>
                <w:sz w:val="20"/>
              </w:rPr>
              <w:t>Licensed Medicare Agent, Agency Owner / Principal Broker, Compliance Officer</w:t>
            </w:r>
          </w:p>
        </w:tc>
      </w:tr>
      <w:tr>
        <w:tc>
          <w:tcPr>
            <w:tcW w:type="dxa" w:w="2736"/>
            <w:shd w:val="clear" w:fill="EAEEF5"/>
          </w:tcPr>
          <w:p>
            <w:r/>
            <w:r>
              <w:rPr>
                <w:rFonts w:ascii="Arial" w:hAnsi="Arial" w:eastAsia="Arial"/>
                <w:b/>
                <w:i w:val="0"/>
                <w:color w:val="1F2A44"/>
                <w:sz w:val="20"/>
              </w:rPr>
              <w:t>Headline</w:t>
            </w:r>
          </w:p>
          <w:p>
            <w:r>
              <w:rPr>
                <w:rFonts w:ascii="Arial" w:hAnsi="Arial" w:eastAsia="Arial"/>
                <w:b w:val="0"/>
                <w:i/>
                <w:color w:val="666666"/>
                <w:sz w:val="16"/>
              </w:rPr>
              <w:t>The main, short copy for this reason to believe.</w:t>
            </w:r>
          </w:p>
        </w:tc>
        <w:tc>
          <w:tcPr>
            <w:tcW w:type="dxa" w:w="7344"/>
          </w:tcPr>
          <w:p>
            <w:r/>
            <w:r>
              <w:rPr>
                <w:rFonts w:ascii="Arial" w:hAnsi="Arial" w:eastAsia="Arial"/>
                <w:b w:val="0"/>
                <w:i w:val="0"/>
                <w:sz w:val="20"/>
              </w:rPr>
              <w:t>It knows where to stop.</w:t>
            </w:r>
          </w:p>
        </w:tc>
      </w:tr>
      <w:tr>
        <w:tc>
          <w:tcPr>
            <w:tcW w:type="dxa" w:w="2736"/>
            <w:shd w:val="clear" w:fill="EAEEF5"/>
          </w:tcPr>
          <w:p>
            <w:r/>
            <w:r>
              <w:rPr>
                <w:rFonts w:ascii="Arial" w:hAnsi="Arial" w:eastAsia="Arial"/>
                <w:b/>
                <w:i w:val="0"/>
                <w:color w:val="1F2A44"/>
                <w:sz w:val="20"/>
              </w:rPr>
              <w:t>Tier 2 Copy</w:t>
            </w:r>
          </w:p>
          <w:p>
            <w:r>
              <w:rPr>
                <w:rFonts w:ascii="Arial" w:hAnsi="Arial" w:eastAsia="Arial"/>
                <w:b w:val="0"/>
                <w:i/>
                <w:color w:val="666666"/>
                <w:sz w:val="16"/>
              </w:rPr>
              <w:t>Longer form, about 25 words.</w:t>
            </w:r>
          </w:p>
        </w:tc>
        <w:tc>
          <w:tcPr>
            <w:tcW w:type="dxa" w:w="7344"/>
          </w:tcPr>
          <w:p>
            <w:r/>
            <w:r>
              <w:rPr>
                <w:rFonts w:ascii="Arial" w:hAnsi="Arial" w:eastAsia="Arial"/>
                <w:b w:val="0"/>
                <w:i w:val="0"/>
                <w:sz w:val="20"/>
              </w:rPr>
              <w:t>Advice belongs to your licensed agent. Your AI answers the factual questions, then hands over warm, with the full conversation already attached.</w:t>
            </w:r>
          </w:p>
        </w:tc>
      </w:tr>
      <w:tr>
        <w:tc>
          <w:tcPr>
            <w:tcW w:type="dxa" w:w="2736"/>
            <w:shd w:val="clear" w:fill="EAEEF5"/>
          </w:tcPr>
          <w:p>
            <w:r/>
            <w:r>
              <w:rPr>
                <w:rFonts w:ascii="Arial" w:hAnsi="Arial" w:eastAsia="Arial"/>
                <w:b/>
                <w:i w:val="0"/>
                <w:color w:val="1F2A44"/>
                <w:sz w:val="20"/>
              </w:rPr>
              <w:t>Tier 3 Copy</w:t>
            </w:r>
          </w:p>
          <w:p>
            <w:r>
              <w:rPr>
                <w:rFonts w:ascii="Arial" w:hAnsi="Arial" w:eastAsia="Arial"/>
                <w:b w:val="0"/>
                <w:i/>
                <w:color w:val="666666"/>
                <w:sz w:val="16"/>
              </w:rPr>
              <w:t>Longest form, 50+ words.</w:t>
            </w:r>
          </w:p>
        </w:tc>
        <w:tc>
          <w:tcPr>
            <w:tcW w:type="dxa" w:w="7344"/>
          </w:tcPr>
          <w:p>
            <w:r/>
            <w:r>
              <w:rPr>
                <w:rFonts w:ascii="Arial" w:hAnsi="Arial" w:eastAsia="Arial"/>
                <w:b w:val="0"/>
                <w:i w:val="0"/>
                <w:sz w:val="20"/>
              </w:rPr>
              <w:t>An agent who never escalates is a liability; one who escalates everything is a phone tree. Yours draws the line where the rules do: factual questions about a plan get answered, anything that becomes advice goes to a licensed human. And the handoff carries the conversation with it, so your agent picks up knowing who is calling, which plan they asked about and what has already been covered. Nobody repeats themselves, and the licensed conversation stays licensed.</w:t>
            </w:r>
          </w:p>
        </w:tc>
      </w:tr>
    </w:tbl>
    <w:p/>
    <w:tbl>
      <w:tblPr>
        <w:tblStyle w:val="TableGrid"/>
        <w:tblW w:type="auto" w:w="0"/>
        <w:tblLook w:firstColumn="1" w:firstRow="1" w:lastColumn="0" w:lastRow="0" w:noHBand="0" w:noVBand="1" w:val="04A0"/>
      </w:tblPr>
      <w:tblGrid>
        <w:gridCol w:w="2736"/>
        <w:gridCol w:w="7344"/>
      </w:tblGrid>
      <w:tr>
        <w:tc>
          <w:tcPr>
            <w:tcW w:type="dxa" w:w="2736"/>
            <w:shd w:val="clear" w:fill="EAEEF5"/>
          </w:tcPr>
          <w:p>
            <w:r/>
            <w:r>
              <w:rPr>
                <w:rFonts w:ascii="Arial" w:hAnsi="Arial" w:eastAsia="Arial"/>
                <w:b/>
                <w:i w:val="0"/>
                <w:color w:val="1F2A44"/>
                <w:sz w:val="20"/>
              </w:rPr>
              <w:t>Reason to Believe (2.3)</w:t>
            </w:r>
          </w:p>
        </w:tc>
        <w:tc>
          <w:tcPr>
            <w:tcW w:type="dxa" w:w="7344"/>
          </w:tcPr>
          <w:p>
            <w:r/>
            <w:r>
              <w:rPr>
                <w:rFonts w:ascii="Arial" w:hAnsi="Arial" w:eastAsia="Arial"/>
                <w:b w:val="0"/>
                <w:i w:val="0"/>
                <w:sz w:val="20"/>
              </w:rPr>
              <w:t>TPMO disclaimer, automated-system disclosure and call recording handled automatically, retained to the CMS ten-year standard.</w:t>
            </w:r>
          </w:p>
        </w:tc>
      </w:tr>
      <w:tr>
        <w:tc>
          <w:tcPr>
            <w:tcW w:type="dxa" w:w="2736"/>
            <w:shd w:val="clear" w:fill="EAEEF5"/>
          </w:tcPr>
          <w:p>
            <w:r/>
            <w:r>
              <w:rPr>
                <w:rFonts w:ascii="Arial" w:hAnsi="Arial" w:eastAsia="Arial"/>
                <w:b/>
                <w:i w:val="0"/>
                <w:color w:val="1F2A44"/>
                <w:sz w:val="20"/>
              </w:rPr>
              <w:t>Applicable Persona(s)</w:t>
            </w:r>
          </w:p>
          <w:p>
            <w:r>
              <w:rPr>
                <w:rFonts w:ascii="Arial" w:hAnsi="Arial" w:eastAsia="Arial"/>
                <w:b w:val="0"/>
                <w:i/>
                <w:color w:val="666666"/>
                <w:sz w:val="16"/>
              </w:rPr>
              <w:t>Who is this targeted at?</w:t>
            </w:r>
          </w:p>
        </w:tc>
        <w:tc>
          <w:tcPr>
            <w:tcW w:type="dxa" w:w="7344"/>
          </w:tcPr>
          <w:p>
            <w:r/>
            <w:r>
              <w:rPr>
                <w:rFonts w:ascii="Arial" w:hAnsi="Arial" w:eastAsia="Arial"/>
                <w:b w:val="0"/>
                <w:i w:val="0"/>
                <w:sz w:val="20"/>
              </w:rPr>
              <w:t>Compliance Officer, Agency Owner / Principal Broker, Director of Operations</w:t>
            </w:r>
          </w:p>
        </w:tc>
      </w:tr>
      <w:tr>
        <w:tc>
          <w:tcPr>
            <w:tcW w:type="dxa" w:w="2736"/>
            <w:shd w:val="clear" w:fill="EAEEF5"/>
          </w:tcPr>
          <w:p>
            <w:r/>
            <w:r>
              <w:rPr>
                <w:rFonts w:ascii="Arial" w:hAnsi="Arial" w:eastAsia="Arial"/>
                <w:b/>
                <w:i w:val="0"/>
                <w:color w:val="1F2A44"/>
                <w:sz w:val="20"/>
              </w:rPr>
              <w:t>Headline</w:t>
            </w:r>
          </w:p>
          <w:p>
            <w:r>
              <w:rPr>
                <w:rFonts w:ascii="Arial" w:hAnsi="Arial" w:eastAsia="Arial"/>
                <w:b w:val="0"/>
                <w:i/>
                <w:color w:val="666666"/>
                <w:sz w:val="16"/>
              </w:rPr>
              <w:t>The main, short copy for this reason to believe.</w:t>
            </w:r>
          </w:p>
        </w:tc>
        <w:tc>
          <w:tcPr>
            <w:tcW w:type="dxa" w:w="7344"/>
          </w:tcPr>
          <w:p>
            <w:r/>
            <w:r>
              <w:rPr>
                <w:rFonts w:ascii="Arial" w:hAnsi="Arial" w:eastAsia="Arial"/>
                <w:b w:val="0"/>
                <w:i w:val="0"/>
                <w:sz w:val="20"/>
              </w:rPr>
              <w:t>Compliance that happens by itself.</w:t>
            </w:r>
          </w:p>
        </w:tc>
      </w:tr>
      <w:tr>
        <w:tc>
          <w:tcPr>
            <w:tcW w:type="dxa" w:w="2736"/>
            <w:shd w:val="clear" w:fill="EAEEF5"/>
          </w:tcPr>
          <w:p>
            <w:r/>
            <w:r>
              <w:rPr>
                <w:rFonts w:ascii="Arial" w:hAnsi="Arial" w:eastAsia="Arial"/>
                <w:b/>
                <w:i w:val="0"/>
                <w:color w:val="1F2A44"/>
                <w:sz w:val="20"/>
              </w:rPr>
              <w:t>Tier 2 Copy</w:t>
            </w:r>
          </w:p>
          <w:p>
            <w:r>
              <w:rPr>
                <w:rFonts w:ascii="Arial" w:hAnsi="Arial" w:eastAsia="Arial"/>
                <w:b w:val="0"/>
                <w:i/>
                <w:color w:val="666666"/>
                <w:sz w:val="16"/>
              </w:rPr>
              <w:t>Longer form, about 25 words.</w:t>
            </w:r>
          </w:p>
        </w:tc>
        <w:tc>
          <w:tcPr>
            <w:tcW w:type="dxa" w:w="7344"/>
          </w:tcPr>
          <w:p>
            <w:r/>
            <w:r>
              <w:rPr>
                <w:rFonts w:ascii="Arial" w:hAnsi="Arial" w:eastAsia="Arial"/>
                <w:b w:val="0"/>
                <w:i w:val="0"/>
                <w:sz w:val="20"/>
              </w:rPr>
              <w:t>The disclaimer gets read, the caller is told they are speaking to an automated system, and the recording is kept. Every call, without anyone remembering.</w:t>
            </w:r>
          </w:p>
        </w:tc>
      </w:tr>
      <w:tr>
        <w:tc>
          <w:tcPr>
            <w:tcW w:type="dxa" w:w="2736"/>
            <w:shd w:val="clear" w:fill="EAEEF5"/>
          </w:tcPr>
          <w:p>
            <w:r/>
            <w:r>
              <w:rPr>
                <w:rFonts w:ascii="Arial" w:hAnsi="Arial" w:eastAsia="Arial"/>
                <w:b/>
                <w:i w:val="0"/>
                <w:color w:val="1F2A44"/>
                <w:sz w:val="20"/>
              </w:rPr>
              <w:t>Tier 3 Copy</w:t>
            </w:r>
          </w:p>
          <w:p>
            <w:r>
              <w:rPr>
                <w:rFonts w:ascii="Arial" w:hAnsi="Arial" w:eastAsia="Arial"/>
                <w:b w:val="0"/>
                <w:i/>
                <w:color w:val="666666"/>
                <w:sz w:val="16"/>
              </w:rPr>
              <w:t>Longest form, 50+ words.</w:t>
            </w:r>
          </w:p>
        </w:tc>
        <w:tc>
          <w:tcPr>
            <w:tcW w:type="dxa" w:w="7344"/>
          </w:tcPr>
          <w:p>
            <w:r/>
            <w:r>
              <w:rPr>
                <w:rFonts w:ascii="Arial" w:hAnsi="Arial" w:eastAsia="Arial"/>
                <w:b w:val="0"/>
                <w:i w:val="0"/>
                <w:sz w:val="20"/>
              </w:rPr>
              <w:t>CMS expects the TPMO disclaimer before benefits are discussed, an automated system to say what it is, and every sales call recorded and kept for ten years. Today that depends on people remembering under pressure in the busiest six weeks of your year. Built into the call, it simply happens, on the first call and the four hundredth. An audit or a complaint stops being a scramble through voicemail and becomes a search.</w:t>
            </w:r>
          </w:p>
        </w:tc>
      </w:tr>
    </w:tbl>
    <w:p/>
    <w:p>
      <w:pPr>
        <w:spacing w:before="280"/>
      </w:pPr>
      <w:r>
        <w:rPr>
          <w:rFonts w:ascii="Arial" w:hAnsi="Arial" w:eastAsia="Arial"/>
          <w:b/>
          <w:i w:val="0"/>
          <w:color w:val="1F2A44"/>
          <w:sz w:val="24"/>
        </w:rPr>
        <w:t>Value Proposition: Coverage Without the Headcount</w:t>
      </w:r>
    </w:p>
    <w:tbl>
      <w:tblPr>
        <w:tblStyle w:val="TableGrid"/>
        <w:tblW w:type="auto" w:w="0"/>
        <w:tblLook w:firstColumn="1" w:firstRow="1" w:lastColumn="0" w:lastRow="0" w:noHBand="0" w:noVBand="1" w:val="04A0"/>
      </w:tblPr>
      <w:tblGrid>
        <w:gridCol w:w="2736"/>
        <w:gridCol w:w="7344"/>
      </w:tblGrid>
      <w:tr>
        <w:tc>
          <w:tcPr>
            <w:tcW w:type="dxa" w:w="2736"/>
            <w:shd w:val="clear" w:fill="EAEEF5"/>
          </w:tcPr>
          <w:p>
            <w:r/>
            <w:r>
              <w:rPr>
                <w:rFonts w:ascii="Arial" w:hAnsi="Arial" w:eastAsia="Arial"/>
                <w:b/>
                <w:i w:val="0"/>
                <w:color w:val="1F2A44"/>
                <w:sz w:val="20"/>
              </w:rPr>
              <w:t>Reason to Believe (3.1)</w:t>
            </w:r>
          </w:p>
        </w:tc>
        <w:tc>
          <w:tcPr>
            <w:tcW w:type="dxa" w:w="7344"/>
          </w:tcPr>
          <w:p>
            <w:r/>
            <w:r>
              <w:rPr>
                <w:rFonts w:ascii="Arial" w:hAnsi="Arial" w:eastAsia="Arial"/>
                <w:b w:val="0"/>
                <w:i w:val="0"/>
                <w:sz w:val="20"/>
              </w:rPr>
              <w:t>Answers every call, night and weekend, in your agency's name.</w:t>
            </w:r>
          </w:p>
        </w:tc>
      </w:tr>
      <w:tr>
        <w:tc>
          <w:tcPr>
            <w:tcW w:type="dxa" w:w="2736"/>
            <w:shd w:val="clear" w:fill="EAEEF5"/>
          </w:tcPr>
          <w:p>
            <w:r/>
            <w:r>
              <w:rPr>
                <w:rFonts w:ascii="Arial" w:hAnsi="Arial" w:eastAsia="Arial"/>
                <w:b/>
                <w:i w:val="0"/>
                <w:color w:val="1F2A44"/>
                <w:sz w:val="20"/>
              </w:rPr>
              <w:t>Applicable Persona(s)</w:t>
            </w:r>
          </w:p>
          <w:p>
            <w:r>
              <w:rPr>
                <w:rFonts w:ascii="Arial" w:hAnsi="Arial" w:eastAsia="Arial"/>
                <w:b w:val="0"/>
                <w:i/>
                <w:color w:val="666666"/>
                <w:sz w:val="16"/>
              </w:rPr>
              <w:t>Who is this targeted at?</w:t>
            </w:r>
          </w:p>
        </w:tc>
        <w:tc>
          <w:tcPr>
            <w:tcW w:type="dxa" w:w="7344"/>
          </w:tcPr>
          <w:p>
            <w:r/>
            <w:r>
              <w:rPr>
                <w:rFonts w:ascii="Arial" w:hAnsi="Arial" w:eastAsia="Arial"/>
                <w:b w:val="0"/>
                <w:i w:val="0"/>
                <w:sz w:val="20"/>
              </w:rPr>
              <w:t>Agency Owner / Principal Broker, Sales Manager, Front Desk / Office Administrator</w:t>
            </w:r>
          </w:p>
        </w:tc>
      </w:tr>
      <w:tr>
        <w:tc>
          <w:tcPr>
            <w:tcW w:type="dxa" w:w="2736"/>
            <w:shd w:val="clear" w:fill="EAEEF5"/>
          </w:tcPr>
          <w:p>
            <w:r/>
            <w:r>
              <w:rPr>
                <w:rFonts w:ascii="Arial" w:hAnsi="Arial" w:eastAsia="Arial"/>
                <w:b/>
                <w:i w:val="0"/>
                <w:color w:val="1F2A44"/>
                <w:sz w:val="20"/>
              </w:rPr>
              <w:t>Headline</w:t>
            </w:r>
          </w:p>
          <w:p>
            <w:r>
              <w:rPr>
                <w:rFonts w:ascii="Arial" w:hAnsi="Arial" w:eastAsia="Arial"/>
                <w:b w:val="0"/>
                <w:i/>
                <w:color w:val="666666"/>
                <w:sz w:val="16"/>
              </w:rPr>
              <w:t>The main, short copy for this reason to believe.</w:t>
            </w:r>
          </w:p>
        </w:tc>
        <w:tc>
          <w:tcPr>
            <w:tcW w:type="dxa" w:w="7344"/>
          </w:tcPr>
          <w:p>
            <w:r/>
            <w:r>
              <w:rPr>
                <w:rFonts w:ascii="Arial" w:hAnsi="Arial" w:eastAsia="Arial"/>
                <w:b w:val="0"/>
                <w:i w:val="0"/>
                <w:sz w:val="20"/>
              </w:rPr>
              <w:t>Your office never closes.</w:t>
            </w:r>
          </w:p>
        </w:tc>
      </w:tr>
      <w:tr>
        <w:tc>
          <w:tcPr>
            <w:tcW w:type="dxa" w:w="2736"/>
            <w:shd w:val="clear" w:fill="EAEEF5"/>
          </w:tcPr>
          <w:p>
            <w:r/>
            <w:r>
              <w:rPr>
                <w:rFonts w:ascii="Arial" w:hAnsi="Arial" w:eastAsia="Arial"/>
                <w:b/>
                <w:i w:val="0"/>
                <w:color w:val="1F2A44"/>
                <w:sz w:val="20"/>
              </w:rPr>
              <w:t>Tier 2 Copy</w:t>
            </w:r>
          </w:p>
          <w:p>
            <w:r>
              <w:rPr>
                <w:rFonts w:ascii="Arial" w:hAnsi="Arial" w:eastAsia="Arial"/>
                <w:b w:val="0"/>
                <w:i/>
                <w:color w:val="666666"/>
                <w:sz w:val="16"/>
              </w:rPr>
              <w:t>Longer form, about 25 words.</w:t>
            </w:r>
          </w:p>
        </w:tc>
        <w:tc>
          <w:tcPr>
            <w:tcW w:type="dxa" w:w="7344"/>
          </w:tcPr>
          <w:p>
            <w:r/>
            <w:r>
              <w:rPr>
                <w:rFonts w:ascii="Arial" w:hAnsi="Arial" w:eastAsia="Arial"/>
                <w:b w:val="0"/>
                <w:i w:val="0"/>
                <w:sz w:val="20"/>
              </w:rPr>
              <w:t>Every call answered in your agency's name, at nine on a Sunday and at peak AEP, however many come in at once.</w:t>
            </w:r>
          </w:p>
        </w:tc>
      </w:tr>
      <w:tr>
        <w:tc>
          <w:tcPr>
            <w:tcW w:type="dxa" w:w="2736"/>
            <w:shd w:val="clear" w:fill="EAEEF5"/>
          </w:tcPr>
          <w:p>
            <w:r/>
            <w:r>
              <w:rPr>
                <w:rFonts w:ascii="Arial" w:hAnsi="Arial" w:eastAsia="Arial"/>
                <w:b/>
                <w:i w:val="0"/>
                <w:color w:val="1F2A44"/>
                <w:sz w:val="20"/>
              </w:rPr>
              <w:t>Tier 3 Copy</w:t>
            </w:r>
          </w:p>
          <w:p>
            <w:r>
              <w:rPr>
                <w:rFonts w:ascii="Arial" w:hAnsi="Arial" w:eastAsia="Arial"/>
                <w:b w:val="0"/>
                <w:i/>
                <w:color w:val="666666"/>
                <w:sz w:val="16"/>
              </w:rPr>
              <w:t>Longest form, 50+ words.</w:t>
            </w:r>
          </w:p>
        </w:tc>
        <w:tc>
          <w:tcPr>
            <w:tcW w:type="dxa" w:w="7344"/>
          </w:tcPr>
          <w:p>
            <w:r/>
            <w:r>
              <w:rPr>
                <w:rFonts w:ascii="Arial" w:hAnsi="Arial" w:eastAsia="Arial"/>
                <w:b w:val="0"/>
                <w:i w:val="0"/>
                <w:sz w:val="20"/>
              </w:rPr>
              <w:t>A Medicare lead goes cold in about five minutes, and the calls you most want do not arrive between nine and five. Between the fifteenth of October and the seventh of December they arrive all at once. Your front line picks up every one of them, in your agency's name, however many are ringing, so the caller who would have hit voicemail and dialled the next agency stays with you instead. A single member who enrols and stays five years is worth roughly two thousand dollars.</w:t>
            </w:r>
          </w:p>
        </w:tc>
      </w:tr>
    </w:tbl>
    <w:p/>
    <w:tbl>
      <w:tblPr>
        <w:tblStyle w:val="TableGrid"/>
        <w:tblW w:type="auto" w:w="0"/>
        <w:tblLook w:firstColumn="1" w:firstRow="1" w:lastColumn="0" w:lastRow="0" w:noHBand="0" w:noVBand="1" w:val="04A0"/>
      </w:tblPr>
      <w:tblGrid>
        <w:gridCol w:w="2736"/>
        <w:gridCol w:w="7344"/>
      </w:tblGrid>
      <w:tr>
        <w:tc>
          <w:tcPr>
            <w:tcW w:type="dxa" w:w="2736"/>
            <w:shd w:val="clear" w:fill="EAEEF5"/>
          </w:tcPr>
          <w:p>
            <w:r/>
            <w:r>
              <w:rPr>
                <w:rFonts w:ascii="Arial" w:hAnsi="Arial" w:eastAsia="Arial"/>
                <w:b/>
                <w:i w:val="0"/>
                <w:color w:val="1F2A44"/>
                <w:sz w:val="20"/>
              </w:rPr>
              <w:t>Reason to Believe (3.2)</w:t>
            </w:r>
          </w:p>
        </w:tc>
        <w:tc>
          <w:tcPr>
            <w:tcW w:type="dxa" w:w="7344"/>
          </w:tcPr>
          <w:p>
            <w:r/>
            <w:r>
              <w:rPr>
                <w:rFonts w:ascii="Arial" w:hAnsi="Arial" w:eastAsia="Arial"/>
                <w:b w:val="0"/>
                <w:i w:val="0"/>
                <w:sz w:val="20"/>
              </w:rPr>
              <w:t>Published, predictable pricing sized for a three-to-ten agent agency, month to month.</w:t>
            </w:r>
          </w:p>
        </w:tc>
      </w:tr>
      <w:tr>
        <w:tc>
          <w:tcPr>
            <w:tcW w:type="dxa" w:w="2736"/>
            <w:shd w:val="clear" w:fill="EAEEF5"/>
          </w:tcPr>
          <w:p>
            <w:r/>
            <w:r>
              <w:rPr>
                <w:rFonts w:ascii="Arial" w:hAnsi="Arial" w:eastAsia="Arial"/>
                <w:b/>
                <w:i w:val="0"/>
                <w:color w:val="1F2A44"/>
                <w:sz w:val="20"/>
              </w:rPr>
              <w:t>Applicable Persona(s)</w:t>
            </w:r>
          </w:p>
          <w:p>
            <w:r>
              <w:rPr>
                <w:rFonts w:ascii="Arial" w:hAnsi="Arial" w:eastAsia="Arial"/>
                <w:b w:val="0"/>
                <w:i/>
                <w:color w:val="666666"/>
                <w:sz w:val="16"/>
              </w:rPr>
              <w:t>Who is this targeted at?</w:t>
            </w:r>
          </w:p>
        </w:tc>
        <w:tc>
          <w:tcPr>
            <w:tcW w:type="dxa" w:w="7344"/>
          </w:tcPr>
          <w:p>
            <w:r/>
            <w:r>
              <w:rPr>
                <w:rFonts w:ascii="Arial" w:hAnsi="Arial" w:eastAsia="Arial"/>
                <w:b w:val="0"/>
                <w:i w:val="0"/>
                <w:sz w:val="20"/>
              </w:rPr>
              <w:t>Agency Owner / Principal Broker, Founder / Managing Partner</w:t>
            </w:r>
          </w:p>
        </w:tc>
      </w:tr>
      <w:tr>
        <w:tc>
          <w:tcPr>
            <w:tcW w:type="dxa" w:w="2736"/>
            <w:shd w:val="clear" w:fill="EAEEF5"/>
          </w:tcPr>
          <w:p>
            <w:r/>
            <w:r>
              <w:rPr>
                <w:rFonts w:ascii="Arial" w:hAnsi="Arial" w:eastAsia="Arial"/>
                <w:b/>
                <w:i w:val="0"/>
                <w:color w:val="1F2A44"/>
                <w:sz w:val="20"/>
              </w:rPr>
              <w:t>Headline</w:t>
            </w:r>
          </w:p>
          <w:p>
            <w:r>
              <w:rPr>
                <w:rFonts w:ascii="Arial" w:hAnsi="Arial" w:eastAsia="Arial"/>
                <w:b w:val="0"/>
                <w:i/>
                <w:color w:val="666666"/>
                <w:sz w:val="16"/>
              </w:rPr>
              <w:t>The main, short copy for this reason to believe.</w:t>
            </w:r>
          </w:p>
        </w:tc>
        <w:tc>
          <w:tcPr>
            <w:tcW w:type="dxa" w:w="7344"/>
          </w:tcPr>
          <w:p>
            <w:r/>
            <w:r>
              <w:rPr>
                <w:rFonts w:ascii="Arial" w:hAnsi="Arial" w:eastAsia="Arial"/>
                <w:b w:val="0"/>
                <w:i w:val="0"/>
                <w:sz w:val="20"/>
              </w:rPr>
              <w:t>Priced for an agency your size.</w:t>
            </w:r>
          </w:p>
        </w:tc>
      </w:tr>
      <w:tr>
        <w:tc>
          <w:tcPr>
            <w:tcW w:type="dxa" w:w="2736"/>
            <w:shd w:val="clear" w:fill="EAEEF5"/>
          </w:tcPr>
          <w:p>
            <w:r/>
            <w:r>
              <w:rPr>
                <w:rFonts w:ascii="Arial" w:hAnsi="Arial" w:eastAsia="Arial"/>
                <w:b/>
                <w:i w:val="0"/>
                <w:color w:val="1F2A44"/>
                <w:sz w:val="20"/>
              </w:rPr>
              <w:t>Tier 2 Copy</w:t>
            </w:r>
          </w:p>
          <w:p>
            <w:r>
              <w:rPr>
                <w:rFonts w:ascii="Arial" w:hAnsi="Arial" w:eastAsia="Arial"/>
                <w:b w:val="0"/>
                <w:i/>
                <w:color w:val="666666"/>
                <w:sz w:val="16"/>
              </w:rPr>
              <w:t>Longer form, about 25 words.</w:t>
            </w:r>
          </w:p>
        </w:tc>
        <w:tc>
          <w:tcPr>
            <w:tcW w:type="dxa" w:w="7344"/>
          </w:tcPr>
          <w:p>
            <w:r/>
            <w:r>
              <w:rPr>
                <w:rFonts w:ascii="Arial" w:hAnsi="Arial" w:eastAsia="Arial"/>
                <w:b w:val="0"/>
                <w:i w:val="0"/>
                <w:sz w:val="20"/>
              </w:rPr>
              <w:t>The price is on the website. No demo required to see it, nothing to sign for a year, and no surprise on the invoice.</w:t>
            </w:r>
          </w:p>
        </w:tc>
      </w:tr>
      <w:tr>
        <w:tc>
          <w:tcPr>
            <w:tcW w:type="dxa" w:w="2736"/>
            <w:shd w:val="clear" w:fill="EAEEF5"/>
          </w:tcPr>
          <w:p>
            <w:r/>
            <w:r>
              <w:rPr>
                <w:rFonts w:ascii="Arial" w:hAnsi="Arial" w:eastAsia="Arial"/>
                <w:b/>
                <w:i w:val="0"/>
                <w:color w:val="1F2A44"/>
                <w:sz w:val="20"/>
              </w:rPr>
              <w:t>Tier 3 Copy</w:t>
            </w:r>
          </w:p>
          <w:p>
            <w:r>
              <w:rPr>
                <w:rFonts w:ascii="Arial" w:hAnsi="Arial" w:eastAsia="Arial"/>
                <w:b w:val="0"/>
                <w:i/>
                <w:color w:val="666666"/>
                <w:sz w:val="16"/>
              </w:rPr>
              <w:t>Longest form, 50+ words.</w:t>
            </w:r>
          </w:p>
        </w:tc>
        <w:tc>
          <w:tcPr>
            <w:tcW w:type="dxa" w:w="7344"/>
          </w:tcPr>
          <w:p>
            <w:r/>
            <w:r>
              <w:rPr>
                <w:rFonts w:ascii="Arial" w:hAnsi="Arial" w:eastAsia="Arial"/>
                <w:b w:val="0"/>
                <w:i w:val="0"/>
                <w:sz w:val="20"/>
              </w:rPr>
              <w:t>Every serious tool in this category hides its price behind a demo, and the one closest to this in capability starts around ten thousand dollars a month, which is a way of saying it is not sold to agencies your size. Ours is published, monthly, and sized for an agency running three to ten agents. You can work out the return before you speak to anyone, start before AEP without a year's commitment, and stop if it does not earn its place.</w:t>
            </w:r>
          </w:p>
        </w:tc>
      </w:tr>
    </w:tbl>
    <w:p/>
    <w:tbl>
      <w:tblPr>
        <w:tblStyle w:val="TableGrid"/>
        <w:tblW w:type="auto" w:w="0"/>
        <w:tblLook w:firstColumn="1" w:firstRow="1" w:lastColumn="0" w:lastRow="0" w:noHBand="0" w:noVBand="1" w:val="04A0"/>
      </w:tblPr>
      <w:tblGrid>
        <w:gridCol w:w="2736"/>
        <w:gridCol w:w="7344"/>
      </w:tblGrid>
      <w:tr>
        <w:tc>
          <w:tcPr>
            <w:tcW w:type="dxa" w:w="2736"/>
            <w:shd w:val="clear" w:fill="EAEEF5"/>
          </w:tcPr>
          <w:p>
            <w:r/>
            <w:r>
              <w:rPr>
                <w:rFonts w:ascii="Arial" w:hAnsi="Arial" w:eastAsia="Arial"/>
                <w:b/>
                <w:i w:val="0"/>
                <w:color w:val="1F2A44"/>
                <w:sz w:val="20"/>
              </w:rPr>
              <w:t>Reason to Believe (3.3)</w:t>
            </w:r>
          </w:p>
        </w:tc>
        <w:tc>
          <w:tcPr>
            <w:tcW w:type="dxa" w:w="7344"/>
          </w:tcPr>
          <w:p>
            <w:r/>
            <w:r>
              <w:rPr>
                <w:rFonts w:ascii="Arial" w:hAnsi="Arial" w:eastAsia="Arial"/>
                <w:b w:val="0"/>
                <w:i w:val="0"/>
                <w:sz w:val="20"/>
              </w:rPr>
              <w:t>Answers in Spanish from the same plan documents, so a bilingual market converts without a bilingual hire.</w:t>
            </w:r>
          </w:p>
        </w:tc>
      </w:tr>
      <w:tr>
        <w:tc>
          <w:tcPr>
            <w:tcW w:type="dxa" w:w="2736"/>
            <w:shd w:val="clear" w:fill="EAEEF5"/>
          </w:tcPr>
          <w:p>
            <w:r/>
            <w:r>
              <w:rPr>
                <w:rFonts w:ascii="Arial" w:hAnsi="Arial" w:eastAsia="Arial"/>
                <w:b/>
                <w:i w:val="0"/>
                <w:color w:val="1F2A44"/>
                <w:sz w:val="20"/>
              </w:rPr>
              <w:t>Applicable Persona(s)</w:t>
            </w:r>
          </w:p>
          <w:p>
            <w:r>
              <w:rPr>
                <w:rFonts w:ascii="Arial" w:hAnsi="Arial" w:eastAsia="Arial"/>
                <w:b w:val="0"/>
                <w:i/>
                <w:color w:val="666666"/>
                <w:sz w:val="16"/>
              </w:rPr>
              <w:t>Who is this targeted at?</w:t>
            </w:r>
          </w:p>
        </w:tc>
        <w:tc>
          <w:tcPr>
            <w:tcW w:type="dxa" w:w="7344"/>
          </w:tcPr>
          <w:p>
            <w:r/>
            <w:r>
              <w:rPr>
                <w:rFonts w:ascii="Arial" w:hAnsi="Arial" w:eastAsia="Arial"/>
                <w:b w:val="0"/>
                <w:i w:val="0"/>
                <w:sz w:val="20"/>
              </w:rPr>
              <w:t>Agency Owner / Principal Broker, Sales Manager, Director of Operations</w:t>
            </w:r>
          </w:p>
        </w:tc>
      </w:tr>
      <w:tr>
        <w:tc>
          <w:tcPr>
            <w:tcW w:type="dxa" w:w="2736"/>
            <w:shd w:val="clear" w:fill="EAEEF5"/>
          </w:tcPr>
          <w:p>
            <w:r/>
            <w:r>
              <w:rPr>
                <w:rFonts w:ascii="Arial" w:hAnsi="Arial" w:eastAsia="Arial"/>
                <w:b/>
                <w:i w:val="0"/>
                <w:color w:val="1F2A44"/>
                <w:sz w:val="20"/>
              </w:rPr>
              <w:t>Headline</w:t>
            </w:r>
          </w:p>
          <w:p>
            <w:r>
              <w:rPr>
                <w:rFonts w:ascii="Arial" w:hAnsi="Arial" w:eastAsia="Arial"/>
                <w:b w:val="0"/>
                <w:i/>
                <w:color w:val="666666"/>
                <w:sz w:val="16"/>
              </w:rPr>
              <w:t>The main, short copy for this reason to believe.</w:t>
            </w:r>
          </w:p>
        </w:tc>
        <w:tc>
          <w:tcPr>
            <w:tcW w:type="dxa" w:w="7344"/>
          </w:tcPr>
          <w:p>
            <w:r/>
            <w:r>
              <w:rPr>
                <w:rFonts w:ascii="Arial" w:hAnsi="Arial" w:eastAsia="Arial"/>
                <w:b w:val="0"/>
                <w:i w:val="0"/>
                <w:sz w:val="20"/>
              </w:rPr>
              <w:t>Se habla espanol, all night.</w:t>
            </w:r>
          </w:p>
        </w:tc>
      </w:tr>
      <w:tr>
        <w:tc>
          <w:tcPr>
            <w:tcW w:type="dxa" w:w="2736"/>
            <w:shd w:val="clear" w:fill="EAEEF5"/>
          </w:tcPr>
          <w:p>
            <w:r/>
            <w:r>
              <w:rPr>
                <w:rFonts w:ascii="Arial" w:hAnsi="Arial" w:eastAsia="Arial"/>
                <w:b/>
                <w:i w:val="0"/>
                <w:color w:val="1F2A44"/>
                <w:sz w:val="20"/>
              </w:rPr>
              <w:t>Tier 2 Copy</w:t>
            </w:r>
          </w:p>
          <w:p>
            <w:r>
              <w:rPr>
                <w:rFonts w:ascii="Arial" w:hAnsi="Arial" w:eastAsia="Arial"/>
                <w:b w:val="0"/>
                <w:i/>
                <w:color w:val="666666"/>
                <w:sz w:val="16"/>
              </w:rPr>
              <w:t>Longer form, about 25 words.</w:t>
            </w:r>
          </w:p>
        </w:tc>
        <w:tc>
          <w:tcPr>
            <w:tcW w:type="dxa" w:w="7344"/>
          </w:tcPr>
          <w:p>
            <w:r/>
            <w:r>
              <w:rPr>
                <w:rFonts w:ascii="Arial" w:hAnsi="Arial" w:eastAsia="Arial"/>
                <w:b w:val="0"/>
                <w:i w:val="0"/>
                <w:sz w:val="20"/>
              </w:rPr>
              <w:t>Spanish-speaking callers get the same plan answers from the same documents, with no bilingual hire, no lost caller and no message nobody can return.</w:t>
            </w:r>
          </w:p>
        </w:tc>
      </w:tr>
      <w:tr>
        <w:tc>
          <w:tcPr>
            <w:tcW w:type="dxa" w:w="2736"/>
            <w:shd w:val="clear" w:fill="EAEEF5"/>
          </w:tcPr>
          <w:p>
            <w:r/>
            <w:r>
              <w:rPr>
                <w:rFonts w:ascii="Arial" w:hAnsi="Arial" w:eastAsia="Arial"/>
                <w:b/>
                <w:i w:val="0"/>
                <w:color w:val="1F2A44"/>
                <w:sz w:val="20"/>
              </w:rPr>
              <w:t>Tier 3 Copy</w:t>
            </w:r>
          </w:p>
          <w:p>
            <w:r>
              <w:rPr>
                <w:rFonts w:ascii="Arial" w:hAnsi="Arial" w:eastAsia="Arial"/>
                <w:b w:val="0"/>
                <w:i/>
                <w:color w:val="666666"/>
                <w:sz w:val="16"/>
              </w:rPr>
              <w:t>Longest form, 50+ words.</w:t>
            </w:r>
          </w:p>
        </w:tc>
        <w:tc>
          <w:tcPr>
            <w:tcW w:type="dxa" w:w="7344"/>
          </w:tcPr>
          <w:p>
            <w:r/>
            <w:r>
              <w:rPr>
                <w:rFonts w:ascii="Arial" w:hAnsi="Arial" w:eastAsia="Arial"/>
                <w:b w:val="0"/>
                <w:i w:val="0"/>
                <w:sz w:val="20"/>
              </w:rPr>
              <w:t>California, Texas, Florida and Arizona hold large Medicare-eligible Spanish-speaking populations, and almost no independent agency can justify a dedicated bilingual team for them. So those calls get a message taken, or they get lost. Your front line answers them properly, same plan documents, same benefit numbers, same escalation to your licensed agent, which opens a market you are already advertising into but were never able to serve after hours.</w:t>
            </w:r>
          </w:p>
        </w:tc>
      </w:tr>
    </w:tbl>
    <w:p/>
    <w:p>
      <w:pPr>
        <w:spacing w:before="320"/>
      </w:pPr>
      <w:r>
        <w:rPr>
          <w:rFonts w:ascii="Arial" w:hAnsi="Arial" w:eastAsia="Arial"/>
          <w:b/>
          <w:i w:val="0"/>
          <w:color w:val="1F2A44"/>
          <w:sz w:val="30"/>
        </w:rPr>
        <w:t>Before This Copy Ships</w:t>
      </w:r>
    </w:p>
    <w:p>
      <w:r>
        <w:rPr>
          <w:rFonts w:ascii="Arial" w:hAnsi="Arial" w:eastAsia="Arial"/>
          <w:b w:val="0"/>
          <w:i/>
          <w:color w:val="666666"/>
          <w:sz w:val="17"/>
        </w:rPr>
        <w:t>Four claims that the copy asserts but the source feature sheet does not yet confirm. Confirm or soften before external use.</w:t>
      </w:r>
    </w:p>
    <w:tbl>
      <w:tblPr>
        <w:tblStyle w:val="TableGrid"/>
        <w:tblW w:type="auto" w:w="0"/>
        <w:tblLook w:firstColumn="1" w:firstRow="1" w:lastColumn="0" w:lastRow="0" w:noHBand="0" w:noVBand="1" w:val="04A0"/>
      </w:tblPr>
      <w:tblGrid>
        <w:gridCol w:w="3312"/>
        <w:gridCol w:w="1728"/>
        <w:gridCol w:w="5040"/>
      </w:tblGrid>
      <w:tr>
        <w:tc>
          <w:tcPr>
            <w:tcW w:type="dxa" w:w="3312"/>
            <w:shd w:val="clear" w:fill="1F2A44"/>
          </w:tcPr>
          <w:p>
            <w:r/>
            <w:r>
              <w:rPr>
                <w:rFonts w:ascii="Arial" w:hAnsi="Arial" w:eastAsia="Arial"/>
                <w:b/>
                <w:i w:val="0"/>
                <w:color w:val="FFFFFF"/>
                <w:sz w:val="20"/>
              </w:rPr>
              <w:t>Claim</w:t>
            </w:r>
          </w:p>
        </w:tc>
        <w:tc>
          <w:tcPr>
            <w:tcW w:type="dxa" w:w="1728"/>
            <w:shd w:val="clear" w:fill="1F2A44"/>
          </w:tcPr>
          <w:p>
            <w:r/>
            <w:r>
              <w:rPr>
                <w:rFonts w:ascii="Arial" w:hAnsi="Arial" w:eastAsia="Arial"/>
                <w:b/>
                <w:i w:val="0"/>
                <w:color w:val="FFFFFF"/>
                <w:sz w:val="20"/>
              </w:rPr>
              <w:t>Where</w:t>
            </w:r>
          </w:p>
        </w:tc>
        <w:tc>
          <w:tcPr>
            <w:tcW w:type="dxa" w:w="5040"/>
            <w:shd w:val="clear" w:fill="1F2A44"/>
          </w:tcPr>
          <w:p>
            <w:r/>
            <w:r>
              <w:rPr>
                <w:rFonts w:ascii="Arial" w:hAnsi="Arial" w:eastAsia="Arial"/>
                <w:b/>
                <w:i w:val="0"/>
                <w:color w:val="FFFFFF"/>
                <w:sz w:val="20"/>
              </w:rPr>
              <w:t>Status</w:t>
            </w:r>
          </w:p>
        </w:tc>
      </w:tr>
      <w:tr>
        <w:tc>
          <w:tcPr>
            <w:tcW w:type="dxa" w:w="3312"/>
          </w:tcPr>
          <w:p>
            <w:r/>
            <w:r>
              <w:rPr>
                <w:rFonts w:ascii="Arial" w:hAnsi="Arial" w:eastAsia="Arial"/>
                <w:b w:val="0"/>
                <w:i w:val="0"/>
                <w:sz w:val="19"/>
              </w:rPr>
              <w:t>Disclaimer, automated-system disclosure and ten-year retention handled automatically</w:t>
            </w:r>
          </w:p>
        </w:tc>
        <w:tc>
          <w:tcPr>
            <w:tcW w:type="dxa" w:w="1728"/>
            <w:shd w:val="clear" w:fill="F7F9FC"/>
          </w:tcPr>
          <w:p>
            <w:r/>
            <w:r>
              <w:rPr>
                <w:rFonts w:ascii="Arial" w:hAnsi="Arial" w:eastAsia="Arial"/>
                <w:b/>
                <w:i w:val="0"/>
                <w:color w:val="1F2A44"/>
                <w:sz w:val="19"/>
              </w:rPr>
              <w:t>RTB 2.3</w:t>
            </w:r>
          </w:p>
        </w:tc>
        <w:tc>
          <w:tcPr>
            <w:tcW w:type="dxa" w:w="5040"/>
          </w:tcPr>
          <w:p>
            <w:r/>
            <w:r>
              <w:rPr>
                <w:rFonts w:ascii="Arial" w:hAnsi="Arial" w:eastAsia="Arial"/>
                <w:b w:val="0"/>
                <w:i w:val="0"/>
                <w:sz w:val="19"/>
              </w:rPr>
              <w:t>Compliance tooling is marked partial. Confirm what is automated today versus planned.</w:t>
            </w:r>
          </w:p>
        </w:tc>
      </w:tr>
      <w:tr>
        <w:tc>
          <w:tcPr>
            <w:tcW w:type="dxa" w:w="3312"/>
          </w:tcPr>
          <w:p>
            <w:r/>
            <w:r>
              <w:rPr>
                <w:rFonts w:ascii="Arial" w:hAnsi="Arial" w:eastAsia="Arial"/>
                <w:b w:val="0"/>
                <w:i w:val="0"/>
                <w:sz w:val="19"/>
              </w:rPr>
              <w:t>Published, predictable pricing, month to month</w:t>
            </w:r>
          </w:p>
        </w:tc>
        <w:tc>
          <w:tcPr>
            <w:tcW w:type="dxa" w:w="1728"/>
            <w:shd w:val="clear" w:fill="F7F9FC"/>
          </w:tcPr>
          <w:p>
            <w:r/>
            <w:r>
              <w:rPr>
                <w:rFonts w:ascii="Arial" w:hAnsi="Arial" w:eastAsia="Arial"/>
                <w:b/>
                <w:i w:val="0"/>
                <w:color w:val="1F2A44"/>
                <w:sz w:val="19"/>
              </w:rPr>
              <w:t>RTB 3.2</w:t>
            </w:r>
          </w:p>
        </w:tc>
        <w:tc>
          <w:tcPr>
            <w:tcW w:type="dxa" w:w="5040"/>
          </w:tcPr>
          <w:p>
            <w:r/>
            <w:r>
              <w:rPr>
                <w:rFonts w:ascii="Arial" w:hAnsi="Arial" w:eastAsia="Arial"/>
                <w:b w:val="0"/>
                <w:i w:val="0"/>
                <w:sz w:val="19"/>
              </w:rPr>
              <w:t>Pricing is not yet published. This is a recommended action, not a current fact; the copy becomes true once it ships.</w:t>
            </w:r>
          </w:p>
        </w:tc>
      </w:tr>
      <w:tr>
        <w:tc>
          <w:tcPr>
            <w:tcW w:type="dxa" w:w="3312"/>
          </w:tcPr>
          <w:p>
            <w:r/>
            <w:r>
              <w:rPr>
                <w:rFonts w:ascii="Arial" w:hAnsi="Arial" w:eastAsia="Arial"/>
                <w:b w:val="0"/>
                <w:i w:val="0"/>
                <w:sz w:val="19"/>
              </w:rPr>
              <w:t>Spanish answers grounded in the plan documents</w:t>
            </w:r>
          </w:p>
        </w:tc>
        <w:tc>
          <w:tcPr>
            <w:tcW w:type="dxa" w:w="1728"/>
            <w:shd w:val="clear" w:fill="F7F9FC"/>
          </w:tcPr>
          <w:p>
            <w:r/>
            <w:r>
              <w:rPr>
                <w:rFonts w:ascii="Arial" w:hAnsi="Arial" w:eastAsia="Arial"/>
                <w:b/>
                <w:i w:val="0"/>
                <w:color w:val="1F2A44"/>
                <w:sz w:val="19"/>
              </w:rPr>
              <w:t>RTB 3.3</w:t>
            </w:r>
          </w:p>
        </w:tc>
        <w:tc>
          <w:tcPr>
            <w:tcW w:type="dxa" w:w="5040"/>
          </w:tcPr>
          <w:p>
            <w:r/>
            <w:r>
              <w:rPr>
                <w:rFonts w:ascii="Arial" w:hAnsi="Arial" w:eastAsia="Arial"/>
                <w:b w:val="0"/>
                <w:i w:val="0"/>
                <w:sz w:val="19"/>
              </w:rPr>
              <w:t>The source sheet carries an asterisk on multilingual. Confirm Spanish resolves against plan documents rather than translating a generic reply.</w:t>
            </w:r>
          </w:p>
        </w:tc>
      </w:tr>
      <w:tr>
        <w:tc>
          <w:tcPr>
            <w:tcW w:type="dxa" w:w="3312"/>
          </w:tcPr>
          <w:p>
            <w:r/>
            <w:r>
              <w:rPr>
                <w:rFonts w:ascii="Arial" w:hAnsi="Arial" w:eastAsia="Arial"/>
                <w:b w:val="0"/>
                <w:i w:val="0"/>
                <w:sz w:val="19"/>
              </w:rPr>
              <w:t>Comparison across the plans in your book</w:t>
            </w:r>
          </w:p>
        </w:tc>
        <w:tc>
          <w:tcPr>
            <w:tcW w:type="dxa" w:w="1728"/>
            <w:shd w:val="clear" w:fill="F7F9FC"/>
          </w:tcPr>
          <w:p>
            <w:r/>
            <w:r>
              <w:rPr>
                <w:rFonts w:ascii="Arial" w:hAnsi="Arial" w:eastAsia="Arial"/>
                <w:b/>
                <w:i w:val="0"/>
                <w:color w:val="1F2A44"/>
                <w:sz w:val="19"/>
              </w:rPr>
              <w:t>RTB 1.3</w:t>
            </w:r>
          </w:p>
        </w:tc>
        <w:tc>
          <w:tcPr>
            <w:tcW w:type="dxa" w:w="5040"/>
          </w:tcPr>
          <w:p>
            <w:r/>
            <w:r>
              <w:rPr>
                <w:rFonts w:ascii="Arial" w:hAnsi="Arial" w:eastAsia="Arial"/>
                <w:b w:val="0"/>
                <w:i w:val="0"/>
                <w:sz w:val="19"/>
              </w:rPr>
              <w:t>Present, but free in SunFire, MedicareCENTER and Medicare Plan Finder. Safe as a supporting claim, never as a headline.</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