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Scorecard</w:t>
      </w:r>
      <w:r>
        <w:t xml:space="preserve"> </w:t>
      </w:r>
      <w:r>
        <w:t xml:space="preserve">Specification</w:t>
      </w:r>
      <w:r>
        <w:t xml:space="preserve"> </w:t>
      </w:r>
      <w:r>
        <w:t xml:space="preserve">(for</w:t>
      </w:r>
      <w:r>
        <w:t xml:space="preserve"> </w:t>
      </w:r>
      <w:r>
        <w:t xml:space="preserve">ScoreApp)</w:t>
      </w:r>
    </w:p>
    <w:p>
      <w:pPr>
        <w:pStyle w:val="Subtitle"/>
      </w:pPr>
      <w:r>
        <w:t xml:space="preserve">Rempo</w:t>
      </w:r>
      <w:r>
        <w:t xml:space="preserve"> </w:t>
      </w:r>
      <w:r>
        <w:t xml:space="preserve">go-to-market,</w:t>
      </w:r>
      <w:r>
        <w:t xml:space="preserve"> </w:t>
      </w:r>
      <w:r>
        <w:t xml:space="preserve">Run</w:t>
      </w:r>
      <w:r>
        <w:t xml:space="preserve"> </w:t>
      </w:r>
      <w:r>
        <w:t xml:space="preserve">2.</w:t>
      </w:r>
      <w:r>
        <w:t xml:space="preserve"> </w:t>
      </w:r>
      <w:r>
        <w:t xml:space="preserve">Skill</w:t>
      </w:r>
      <w:r>
        <w:t xml:space="preserve"> </w:t>
      </w:r>
      <w:r>
        <w:t xml:space="preserve">phase:</w:t>
      </w:r>
      <w:r>
        <w:t xml:space="preserve"> </w:t>
      </w:r>
      <w:r>
        <w:t xml:space="preserve">Lead</w:t>
      </w:r>
      <w:r>
        <w:t xml:space="preserve"> </w:t>
      </w:r>
      <w:r>
        <w:t xml:space="preserve">Magnet.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The skill's ScoreApp scorecard, and in Run 2 the</w:t>
      </w:r>
      <w:r>
        <w:t xml:space="preserve"> </w:t>
      </w:r>
      <w:r>
        <w:rPr>
          <w:bCs/>
          <w:b/>
        </w:rPr>
        <w:t xml:space="preserve">middle-of-funnel asset the founder asked for:</w:t>
      </w:r>
      <w:r>
        <w:t xml:space="preserve"> </w:t>
      </w:r>
      <w:r>
        <w:t xml:space="preserve">something a buyer who is not ready to purchase can consume, with an opt-in that puts them on the email list. It is built on the Phase 1 demand driver and leads to the free Google Review Gap Report.</w:t>
      </w:r>
    </w:p>
    <w:p>
      <w:pPr>
        <w:pStyle w:val="BodyText"/>
      </w:pPr>
      <w:r>
        <w:t xml:space="preserve">All copy is checked against</w:t>
      </w:r>
      <w:r>
        <w:t xml:space="preserve"> </w:t>
      </w:r>
      <w:r>
        <w:rPr>
          <w:rStyle w:val="VerbatimChar"/>
        </w:rPr>
        <w:t xml:space="preserve">GTM-BRIEF.md</w:t>
      </w:r>
      <w:r>
        <w:t xml:space="preserve"> </w:t>
      </w:r>
      <w:r>
        <w:t xml:space="preserve">Section 5: no promised reviews, rankings, or jobs; no staff blamed; every buy CTA carries the offer line from</w:t>
      </w:r>
      <w:r>
        <w:t xml:space="preserve"> </w:t>
      </w:r>
      <w:r>
        <w:rPr>
          <w:rStyle w:val="VerbatimChar"/>
        </w:rPr>
        <w:t xml:space="preserve">06-value-proposition.md</w:t>
      </w:r>
      <w:r>
        <w:t xml:space="preserve">.</w:t>
      </w:r>
    </w:p>
    <w:bookmarkStart w:id="20" w:name="scorecard-overview"/>
    <w:p>
      <w:pPr>
        <w:pStyle w:val="Heading1"/>
      </w:pPr>
      <w:r>
        <w:t xml:space="preserve">Scorecard overview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084"/>
        <w:gridCol w:w="7276"/>
      </w:tblGrid>
      <w:tr>
        <w:trPr>
          <w:tblHeader w:val="true"/>
        </w:trPr>
        <w:tc>
          <w:tcPr>
            <w:tcW w:w="208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727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Specification</w:t>
            </w:r>
          </w:p>
        </w:tc>
      </w:tr>
      <w:tr>
        <w:trPr/>
        <w:tc>
          <w:tcPr>
            <w:tcW w:w="2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Scorecard Name</w:t>
            </w:r>
          </w:p>
        </w:tc>
        <w:tc>
          <w:tcPr>
            <w:tcW w:w="7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Review Engine Scorecard: how fresh are your Google reviews?</w:t>
            </w:r>
          </w:p>
        </w:tc>
      </w:tr>
      <w:tr>
        <w:trPr/>
        <w:tc>
          <w:tcPr>
            <w:tcW w:w="2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Target ICP</w:t>
            </w:r>
          </w:p>
        </w:tc>
        <w:tc>
          <w:tcPr>
            <w:tcW w:w="727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Owners and office managers of home-service shops, HVAC and plumbing first (Phase 4), at both maturity levels</w:t>
            </w:r>
          </w:p>
        </w:tc>
      </w:tr>
      <w:tr>
        <w:trPr/>
        <w:tc>
          <w:tcPr>
            <w:tcW w:w="2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Problem it Reveals</w:t>
            </w:r>
          </w:p>
        </w:tc>
        <w:tc>
          <w:tcPr>
            <w:tcW w:w="7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Whether asking for reviews is a habit or an accident: how customers are asked, how recent the latest review is, whether replies go out, how the shop compares with its local top three, and how many customers a week go unasked</w:t>
            </w:r>
          </w:p>
        </w:tc>
      </w:tr>
      <w:tr>
        <w:trPr/>
        <w:tc>
          <w:tcPr>
            <w:tcW w:w="2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Immediate Value to User</w:t>
            </w:r>
          </w:p>
        </w:tc>
        <w:tc>
          <w:tcPr>
            <w:tcW w:w="727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score out of 100, the three biggest gaps in plain language, and the free Gap Report by email within one business day</w:t>
            </w:r>
          </w:p>
        </w:tc>
      </w:tr>
      <w:tr>
        <w:trPr/>
        <w:tc>
          <w:tcPr>
            <w:tcW w:w="2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Conversion Path to Rempo</w:t>
            </w:r>
          </w:p>
        </w:tc>
        <w:tc>
          <w:tcPr>
            <w:tcW w:w="7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Scorecard, results page, then by fit: "See it run for you" (VSL page and checkout); "Book a 15-minute call" (questions, no CRM, 3 or more locations); everyone stays in the nurture sequence until they buy or unsubscribe</w:t>
            </w:r>
          </w:p>
        </w:tc>
      </w:tr>
    </w:tbl>
    <w:bookmarkEnd w:id="20"/>
    <w:bookmarkStart w:id="21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Higher score means a bigger gap. Questions 1 and 7 are unscored and used for routing. The five scored questions total 100.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516"/>
        <w:gridCol w:w="1883"/>
        <w:gridCol w:w="2584"/>
        <w:gridCol w:w="1985"/>
        <w:gridCol w:w="2392"/>
      </w:tblGrid>
      <w:tr>
        <w:trPr>
          <w:tblHeader w:val="true"/>
        </w:trPr>
        <w:tc>
          <w:tcPr>
            <w:tcW w:w="51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w="1883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Question</w:t>
            </w:r>
          </w:p>
        </w:tc>
        <w:tc>
          <w:tcPr>
            <w:tcW w:w="258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Answer Options</w:t>
            </w:r>
          </w:p>
        </w:tc>
        <w:tc>
          <w:tcPr>
            <w:tcW w:w="1985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Scoring Logic</w:t>
            </w:r>
          </w:p>
        </w:tc>
        <w:tc>
          <w:tcPr>
            <w:tcW w:w="239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What It Reveals</w:t>
            </w:r>
          </w:p>
        </w:tc>
      </w:tr>
      <w:tr>
        <w:trPr/>
        <w:tc>
          <w:tcPr>
            <w:tcW w:w="51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1</w:t>
            </w:r>
          </w:p>
        </w:tc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Where do you log your jobs?</w:t>
            </w:r>
          </w:p>
        </w:tc>
        <w:tc>
          <w:tcPr>
            <w:tcW w:w="25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Jobber / Housecall Pro / ServiceTitan / Another CRM with customer phone or email / Paper or spreadsheets</w:t>
            </w:r>
          </w:p>
        </w:tc>
        <w:tc>
          <w:tcPr>
            <w:tcW w:w="1985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Unscored. Paper or spreadsheets routes to a call (the upload fallback is</w:t>
            </w:r>
            <w:r>
              <w:rPr>
                <w:rFonts w:ascii="Arial" w:hAnsi="Arial"/>
                <w:color w:val="4B2A99"/>
                <w:sz w:val="19"/>
              </w:rPr>
              <w:t xml:space="preserve"> 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)</w:t>
            </w:r>
          </w:p>
        </w:tc>
        <w:tc>
          <w:tcPr>
            <w:tcW w:w="23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Whether "after every job" can run without anyone at the shop</w:t>
            </w:r>
          </w:p>
        </w:tc>
      </w:tr>
      <w:tr>
        <w:trPr/>
        <w:tc>
          <w:tcPr>
            <w:tcW w:w="51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2</w:t>
            </w:r>
          </w:p>
        </w:tc>
        <w:tc>
          <w:tcPr>
            <w:tcW w:w="188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How do you ask customers for reviews today?</w:t>
            </w:r>
          </w:p>
        </w:tc>
        <w:tc>
          <w:tcPr>
            <w:tcW w:w="25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 don't really ask / When someone remembers / Our technicians ask in person / Our job software sends a request / A review tool sends requests and follow-ups</w:t>
            </w:r>
          </w:p>
        </w:tc>
        <w:tc>
          <w:tcPr>
            <w:tcW w:w="1985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25 / 20 / 15 / 8 / 3</w:t>
            </w:r>
          </w:p>
        </w:tc>
        <w:tc>
          <w:tcPr>
            <w:tcW w:w="23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Whether asking is a system or depends on memory</w:t>
            </w:r>
          </w:p>
        </w:tc>
      </w:tr>
      <w:tr>
        <w:trPr/>
        <w:tc>
          <w:tcPr>
            <w:tcW w:w="51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3</w:t>
            </w:r>
          </w:p>
        </w:tc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About how many jobs do you complete in a typical week?</w:t>
            </w:r>
          </w:p>
        </w:tc>
        <w:tc>
          <w:tcPr>
            <w:tcW w:w="25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Fewer than 5 / 5 to 15 / 16 to 40 / More than 40 / Not sure</w:t>
            </w:r>
          </w:p>
        </w:tc>
        <w:tc>
          <w:tcPr>
            <w:tcW w:w="1985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3 / 8 / 12 / 15 / 8</w:t>
            </w:r>
          </w:p>
        </w:tc>
        <w:tc>
          <w:tcPr>
            <w:tcW w:w="23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How many customers go unasked each week if the habit is weak</w:t>
            </w:r>
          </w:p>
        </w:tc>
      </w:tr>
      <w:tr>
        <w:trPr/>
        <w:tc>
          <w:tcPr>
            <w:tcW w:w="51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4</w:t>
            </w:r>
          </w:p>
        </w:tc>
        <w:tc>
          <w:tcPr>
            <w:tcW w:w="188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When did your most recent Google review arrive?</w:t>
            </w:r>
          </w:p>
        </w:tc>
        <w:tc>
          <w:tcPr>
            <w:tcW w:w="25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This week / This month / 1 to 3 months ago / More than 3 months ago / Not sure</w:t>
            </w:r>
          </w:p>
        </w:tc>
        <w:tc>
          <w:tcPr>
            <w:tcW w:w="1985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0 / 6 / 14 / 20 / 12</w:t>
            </w:r>
          </w:p>
        </w:tc>
        <w:tc>
          <w:tcPr>
            <w:tcW w:w="23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Recency, the gap buyers see first: 74% look for reviews from the last three months (BrightLocal 2026)</w:t>
            </w:r>
          </w:p>
        </w:tc>
      </w:tr>
      <w:tr>
        <w:trPr/>
        <w:tc>
          <w:tcPr>
            <w:tcW w:w="51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5</w:t>
            </w:r>
          </w:p>
        </w:tc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Search your main service and your town. How do your reviews compare with the top three shops?</w:t>
            </w:r>
          </w:p>
        </w:tc>
        <w:tc>
          <w:tcPr>
            <w:tcW w:w="25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We're ahead / About even / Behind / Far behind / Haven't checked</w:t>
            </w:r>
          </w:p>
        </w:tc>
        <w:tc>
          <w:tcPr>
            <w:tcW w:w="1985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0 / 8 / 18 / 25 / 15</w:t>
            </w:r>
          </w:p>
        </w:tc>
        <w:tc>
          <w:tcPr>
            <w:tcW w:w="23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local gap, and the invitation to the Gap Report</w:t>
            </w:r>
          </w:p>
        </w:tc>
      </w:tr>
      <w:tr>
        <w:trPr/>
        <w:tc>
          <w:tcPr>
            <w:tcW w:w="51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6</w:t>
            </w:r>
          </w:p>
        </w:tc>
        <w:tc>
          <w:tcPr>
            <w:tcW w:w="188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How often do you reply to your Google reviews?</w:t>
            </w:r>
          </w:p>
        </w:tc>
        <w:tc>
          <w:tcPr>
            <w:tcW w:w="25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review within two days / Most of them / Some of them / Rarely / Never</w:t>
            </w:r>
          </w:p>
        </w:tc>
        <w:tc>
          <w:tcPr>
            <w:tcW w:w="1985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0 / 4 / 8 / 12 / 15</w:t>
            </w:r>
          </w:p>
        </w:tc>
        <w:tc>
          <w:tcPr>
            <w:tcW w:w="23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reply habit: 80% of consumers prefer a business that replies to all reviews (BrightLocal 2026)</w:t>
            </w:r>
          </w:p>
        </w:tc>
      </w:tr>
      <w:tr>
        <w:trPr/>
        <w:tc>
          <w:tcPr>
            <w:tcW w:w="51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7</w:t>
            </w:r>
          </w:p>
        </w:tc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How many locations do you operate?</w:t>
            </w:r>
          </w:p>
        </w:tc>
        <w:tc>
          <w:tcPr>
            <w:tcW w:w="25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1 / 2 / 3 to 9 / 10 or more</w:t>
            </w:r>
          </w:p>
        </w:tc>
        <w:tc>
          <w:tcPr>
            <w:tcW w:w="1985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Unscored. 3 or more routes to a call</w:t>
            </w:r>
          </w:p>
        </w:tc>
        <w:tc>
          <w:tcPr>
            <w:tcW w:w="23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Whether the self-serve checkout fits</w:t>
            </w:r>
          </w:p>
        </w:tc>
      </w:tr>
    </w:tbl>
    <w:bookmarkEnd w:id="21"/>
    <w:bookmarkStart w:id="22" w:name="results-tiers"/>
    <w:p>
      <w:pPr>
        <w:pStyle w:val="Heading1"/>
      </w:pPr>
      <w:r>
        <w:t xml:space="preserve">Results tiers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122"/>
        <w:gridCol w:w="1360"/>
        <w:gridCol w:w="4367"/>
        <w:gridCol w:w="2511"/>
      </w:tblGrid>
      <w:tr>
        <w:trPr>
          <w:tblHeader w:val="true"/>
        </w:trPr>
        <w:tc>
          <w:tcPr>
            <w:tcW w:w="112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Score Range</w:t>
            </w:r>
          </w:p>
        </w:tc>
        <w:tc>
          <w:tcPr>
            <w:tcW w:w="1360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Tier Name</w:t>
            </w:r>
          </w:p>
        </w:tc>
        <w:tc>
          <w:tcPr>
            <w:tcW w:w="436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Message</w:t>
            </w:r>
          </w:p>
        </w:tc>
        <w:tc>
          <w:tcPr>
            <w:tcW w:w="251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CTA</w:t>
            </w:r>
          </w:p>
        </w:tc>
      </w:tr>
      <w:tr>
        <w:trPr/>
        <w:tc>
          <w:tcPr>
            <w:tcW w:w="112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0-39</w:t>
            </w:r>
          </w:p>
        </w:tc>
        <w:tc>
          <w:tcPr>
            <w:tcW w:w="136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Steady engine</w:t>
            </w:r>
          </w:p>
        </w:tc>
        <w:tc>
          <w:tcPr>
            <w:tcW w:w="436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 ask consistently, and your answers show it. The next gains are in replying to every review and putting your best ones to work on your site and profile.</w:t>
            </w:r>
          </w:p>
        </w:tc>
        <w:tc>
          <w:tcPr>
            <w:tcW w:w="251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Soft: "Get your free Gap Report"</w:t>
            </w:r>
          </w:p>
        </w:tc>
      </w:tr>
      <w:tr>
        <w:trPr/>
        <w:tc>
          <w:tcPr>
            <w:tcW w:w="112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40-69</w:t>
            </w:r>
          </w:p>
        </w:tc>
        <w:tc>
          <w:tcPr>
            <w:tcW w:w="136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Leaky engine</w:t>
            </w:r>
          </w:p>
        </w:tc>
        <w:tc>
          <w:tcPr>
            <w:tcW w:w="436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Some customers get asked and some don't. At [answer to question 3] jobs a week, that adds up to a lot of customers who were never asked.</w:t>
            </w:r>
          </w:p>
        </w:tc>
        <w:tc>
          <w:tcPr>
            <w:tcW w:w="251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Medium: "See how we run it for you" (VSL page), with the offer line</w:t>
            </w:r>
          </w:p>
        </w:tc>
      </w:tr>
      <w:tr>
        <w:trPr/>
        <w:tc>
          <w:tcPr>
            <w:tcW w:w="112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70-100</w:t>
            </w:r>
          </w:p>
        </w:tc>
        <w:tc>
          <w:tcPr>
            <w:tcW w:w="136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Stalled engine</w:t>
            </w:r>
          </w:p>
        </w:tc>
        <w:tc>
          <w:tcPr>
            <w:tcW w:w="436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Right now, asking depends on someone remembering on a busy day. That is the part Rempo runs for you, from the software you already use.</w:t>
            </w:r>
          </w:p>
        </w:tc>
        <w:tc>
          <w:tcPr>
            <w:tcW w:w="251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Strong: "Get started" (checkout, with the offer line) plus "Book a 15-minute call"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Routing overrides:</w:t>
      </w:r>
      <w:r>
        <w:t xml:space="preserve"> </w:t>
      </w:r>
      <w:r>
        <w:t xml:space="preserve">paper or spreadsheets (question 1), or 3 or more locations (question 7), replace the CTA with "Book a 15-minute call", whatever the score. Every tier also offers the Gap Report.</w:t>
      </w:r>
    </w:p>
    <w:bookmarkEnd w:id="22"/>
    <w:bookmarkStart w:id="23" w:name="post-scorecard-email-sequence"/>
    <w:p>
      <w:pPr>
        <w:pStyle w:val="Heading1"/>
      </w:pPr>
      <w:r>
        <w:t xml:space="preserve">Post-scorecard email sequence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930"/>
        <w:gridCol w:w="730"/>
        <w:gridCol w:w="2044"/>
        <w:gridCol w:w="4096"/>
        <w:gridCol w:w="1560"/>
      </w:tblGrid>
      <w:tr>
        <w:trPr>
          <w:tblHeader w:val="true"/>
        </w:trPr>
        <w:tc>
          <w:tcPr>
            <w:tcW w:w="930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Email #</w:t>
            </w:r>
          </w:p>
        </w:tc>
        <w:tc>
          <w:tcPr>
            <w:tcW w:w="730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Day</w:t>
            </w:r>
          </w:p>
        </w:tc>
        <w:tc>
          <w:tcPr>
            <w:tcW w:w="204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Subject Line</w:t>
            </w:r>
          </w:p>
        </w:tc>
        <w:tc>
          <w:tcPr>
            <w:tcW w:w="409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 Focus</w:t>
            </w:r>
          </w:p>
        </w:tc>
        <w:tc>
          <w:tcPr>
            <w:tcW w:w="1560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CTA</w:t>
            </w:r>
          </w:p>
        </w:tc>
      </w:tr>
      <w:tr>
        <w:trPr/>
        <w:tc>
          <w:tcPr>
            <w:tcW w:w="93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1</w:t>
            </w:r>
          </w:p>
        </w:tc>
        <w:tc>
          <w:tcPr>
            <w:tcW w:w="73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0</w:t>
            </w:r>
          </w:p>
        </w:tc>
        <w:tc>
          <w:tcPr>
            <w:tcW w:w="204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Review Engine score: [score]/100</w:t>
            </w:r>
          </w:p>
        </w:tc>
        <w:tc>
          <w:tcPr>
            <w:tcW w:w="409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Results delivery and interpretation: the three biggest gaps and what each means; the Gap Report is on its way</w:t>
            </w:r>
          </w:p>
        </w:tc>
        <w:tc>
          <w:tcPr>
            <w:tcW w:w="156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Watch how it works (VSL page)</w:t>
            </w:r>
          </w:p>
        </w:tc>
      </w:tr>
      <w:tr>
        <w:trPr/>
        <w:tc>
          <w:tcPr>
            <w:tcW w:w="93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2</w:t>
            </w:r>
          </w:p>
        </w:tc>
        <w:tc>
          <w:tcPr>
            <w:tcW w:w="73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2</w:t>
            </w:r>
          </w:p>
        </w:tc>
        <w:tc>
          <w:tcPr>
            <w:tcW w:w="204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What customers look for in your reviews</w:t>
            </w:r>
          </w:p>
        </w:tc>
        <w:tc>
          <w:tcPr>
            <w:tcW w:w="4096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7A5B00"/>
                <w:sz w:val="19"/>
              </w:rPr>
              <w:t xml:space="preserve">Deeper insight. The skill asks for a case study; none exists, so it is</w:t>
            </w:r>
            <w:r>
              <w:rPr>
                <w:rFonts w:ascii="Arial" w:hAnsi="Arial"/>
                <w:color w:val="7A5B00"/>
                <w:sz w:val="19"/>
              </w:rPr>
              <w:t xml:space="preserve"> </w:t>
            </w: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what recency and replies mean to a buyer (BrightLocal 2026, cited), plus the reply guide</w:t>
            </w:r>
          </w:p>
        </w:tc>
        <w:tc>
          <w:tcPr>
            <w:tcW w:w="156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the reply guide</w:t>
            </w:r>
          </w:p>
        </w:tc>
      </w:tr>
      <w:tr>
        <w:trPr/>
        <w:tc>
          <w:tcPr>
            <w:tcW w:w="93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3</w:t>
            </w:r>
          </w:p>
        </w:tc>
        <w:tc>
          <w:tcPr>
            <w:tcW w:w="73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5</w:t>
            </w:r>
          </w:p>
        </w:tc>
        <w:tc>
          <w:tcPr>
            <w:tcW w:w="204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We'll run it for you. Here's exactly how.</w:t>
            </w:r>
          </w:p>
        </w:tc>
        <w:tc>
          <w:tcPr>
            <w:tcW w:w="409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Solution introduction: what Rempo sets up, what the owner does once, the price, setup fee, and guarantee. Three or more locations: an offer to talk</w:t>
            </w:r>
          </w:p>
        </w:tc>
        <w:tc>
          <w:tcPr>
            <w:tcW w:w="1560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(offer line); Book a call</w:t>
            </w:r>
          </w:p>
        </w:tc>
      </w:tr>
      <w:tr>
        <w:trPr/>
        <w:tc>
          <w:tcPr>
            <w:tcW w:w="93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4</w:t>
            </w:r>
          </w:p>
        </w:tc>
        <w:tc>
          <w:tcPr>
            <w:tcW w:w="73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8</w:t>
            </w:r>
          </w:p>
        </w:tc>
        <w:tc>
          <w:tcPr>
            <w:tcW w:w="204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first requests, 7 days from now</w:t>
            </w:r>
          </w:p>
        </w:tc>
        <w:tc>
          <w:tcPr>
            <w:tcW w:w="409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real reason to start now, not invented urgency: setup takes about a week from the software connection (texting registration is part of it), and the guarantee covers that week</w:t>
            </w:r>
          </w:p>
        </w:tc>
        <w:tc>
          <w:tcPr>
            <w:tcW w:w="1560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started; Book a call</w:t>
            </w:r>
          </w:p>
        </w:tc>
      </w:tr>
    </w:tbl>
    <w:p>
      <w:pPr>
        <w:pStyle w:val="BodyText"/>
        <w:spacing w:before="160"/>
      </w:pPr>
      <w:r>
        <w:t xml:space="preserve">After email 4: one useful email a month (Phase 8, Campaign 3), each with the VSL link and the call link.</w:t>
      </w:r>
    </w:p>
    <w:bookmarkEnd w:id="23"/>
    <w:bookmarkStart w:id="24" w:name="build-notes"/>
    <w:p>
      <w:pPr>
        <w:pStyle w:val="Heading1"/>
      </w:pPr>
      <w:r>
        <w:t xml:space="preserve">Build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use:</w:t>
      </w:r>
      <w:r>
        <w:t xml:space="preserve"> </w:t>
      </w:r>
      <w:r>
        <w:t xml:space="preserve">consent on the form for follow-up email, and a plain statement of what is done with the answers.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incentives</w:t>
      </w:r>
      <w:r>
        <w:t xml:space="preserve"> </w:t>
      </w:r>
      <w:r>
        <w:t xml:space="preserve">linked to reviews, for completing the scorecard or anywhere else.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Routing:</w:t>
      </w:r>
      <w:r>
        <w:t xml:space="preserve"> </w:t>
      </w:r>
      <w:r>
        <w:t xml:space="preserve">the answers to questions 1, 3, and 7 pass into checkout, so a buyer who arrives from the scorecard is not asked twice (</w:t>
      </w:r>
      <w:r>
        <w:rPr>
          <w:rStyle w:val="VerbatimChar"/>
        </w:rPr>
        <w:t xml:space="preserve">gtm-requirements-for-product.md</w:t>
      </w:r>
      <w:r>
        <w:t xml:space="preserve">).</w:t>
      </w:r>
    </w:p>
    <w:bookmarkEnd w:id="24"/>
    <w:sectPr>
      <w:headerReference w:type="default" r:id="rId9"/>
      <w:footerReference w:type="default" r:id="rId10"/>
      <w:pgSz w:h="15840" w:w="12240"/>
      <w:pgMar w:bottom="1296" w:left="1440" w:right="1440" w:top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E6F8E"/>
        <w:sz w:val="17"/>
      </w:rPr>
      <w:t xml:space="preserve">Scorecard Specification (for ScoreApp)  ·  page </w:t>
    </w:r>
    <w:r>
      <w:rPr>
        <w:color w:val="5E6F8E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84490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mpo-lockup-on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906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B2A44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Arial" w:cs="Arial" w:eastAsia="Arial" w:hAnsi="Arial"/>
      <w:color w:val="1B2A4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B2A4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B2A4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Arial" w:cs="Arial" w:eastAsia="Arial" w:hAnsi="Arial"/>
      <w:b/>
      <w:bCs/>
      <w:color w:val="0A1A3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/>
      <w:jc w:val="center"/>
    </w:pPr>
    <w:rPr>
      <w:rFonts w:ascii="Arial" w:cs="Arial" w:eastAsia="Arial" w:hAnsi="Arial"/>
      <w:b w:val="0"/>
      <w:color w:val="5E6F8E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styleId="Date" w:type="paragraph">
    <w:name w:val="Date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color w:val="0A1A3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Arial" w:cs="Arial" w:eastAsia="Arial" w:hAnsi="Arial"/>
      <w:b/>
      <w:bCs/>
      <w:color w:val="1A5CF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A1A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/>
      <w:b/>
      <w:bCs/>
      <w:color w:val="1A5CF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Arial" w:cs="Arial" w:eastAsia="Arial" w:hAnsi="Arial"/>
      <w:b/>
      <w:iCs/>
      <w:color w:val="0A1A33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3B4E7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A5BD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BD" w:type="character">
    <w:name w:val="TBD"/>
    <w:rPr>
      <w:i/>
      <w:color w:val="7A5B00"/>
      <w:highlight w:val="yellow"/>
    </w:rPr>
  </w:style>
  <w:style w:customStyle="1" w:styleId="Deferred" w:type="character">
    <w:name w:val="Deferred"/>
    <w:rPr>
      <w:i/>
      <w:color w:val="4B2A9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Scorecard Specification (for ScoreApp)</dc:title>
  <dc:creator>Rempo</dc:creator>
  <cp:keywords/>
  <dcterms:created xsi:type="dcterms:W3CDTF">2026-10-19T00:00:00Z</dcterms:created>
  <dcterms:modified xsi:type="dcterms:W3CDTF">2026-10-19T00:00:00Z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Rempo go-to-market, Run 2. Skill phase: Lead Magnet.</vt:lpwstr>
  </property>
</Properties>
</file>