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Offer</w:t>
      </w:r>
      <w:r>
        <w:t xml:space="preserve"> </w:t>
      </w:r>
      <w:r>
        <w:t xml:space="preserve">Architecture</w:t>
      </w:r>
    </w:p>
    <w:p>
      <w:pPr>
        <w:pStyle w:val="Subtitle"/>
      </w:pPr>
      <w:r>
        <w:t xml:space="preserve">Rempo</w:t>
      </w:r>
      <w:r>
        <w:t xml:space="preserve"> </w:t>
      </w:r>
      <w:r>
        <w:t xml:space="preserve">go-to-market,</w:t>
      </w:r>
      <w:r>
        <w:t xml:space="preserve"> </w:t>
      </w:r>
      <w:r>
        <w:t xml:space="preserve">Run</w:t>
      </w:r>
      <w:r>
        <w:t xml:space="preserve"> </w:t>
      </w:r>
      <w:r>
        <w:t xml:space="preserve">2.</w:t>
      </w:r>
      <w:r>
        <w:t xml:space="preserve"> </w:t>
      </w:r>
      <w:r>
        <w:t xml:space="preserve">Skill</w:t>
      </w:r>
      <w:r>
        <w:t xml:space="preserve"> </w:t>
      </w:r>
      <w:r>
        <w:t xml:space="preserve">phase:</w:t>
      </w:r>
      <w:r>
        <w:t xml:space="preserve"> </w:t>
      </w:r>
      <w:r>
        <w:t xml:space="preserve">Phase</w:t>
      </w:r>
      <w:r>
        <w:t xml:space="preserve"> </w:t>
      </w:r>
      <w:r>
        <w:t xml:space="preserve">11</w:t>
      </w:r>
      <w:r>
        <w:t xml:space="preserve"> </w:t>
      </w:r>
      <w:r>
        <w:t xml:space="preserve">(added).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Run 1's Phase 11 asked whether to lead with the done-for-you service or with software, and warned against running both as two companies. The founder has since answered: a hybrid, service-dominated, with the service as the front end and product upsells later</w:t>
      </w:r>
      <w:r>
        <w:t xml:space="preserve"> </w:t>
      </w:r>
      <w:r>
        <w:rPr>
          <w:bCs/>
          <w:b/>
        </w:rPr>
        <w:t xml:space="preserve">in the same funnel</w:t>
      </w:r>
      <w:r>
        <w:t xml:space="preserve">. This phase sets how that works without turning into the two-company trap Run 1 described. Read with</w:t>
      </w:r>
      <w:r>
        <w:t xml:space="preserve"> </w:t>
      </w:r>
      <w:r>
        <w:rPr>
          <w:rStyle w:val="VerbatimChar"/>
        </w:rPr>
        <w:t xml:space="preserve">09-pricing-packaging.md</w:t>
      </w:r>
      <w:r>
        <w:t xml:space="preserve"> </w:t>
      </w:r>
      <w:r>
        <w:t xml:space="preserve">(prices) and</w:t>
      </w:r>
      <w:r>
        <w:t xml:space="preserve"> </w:t>
      </w:r>
      <w:r>
        <w:rPr>
          <w:rStyle w:val="VerbatimChar"/>
        </w:rPr>
        <w:t xml:space="preserve">01-product-feature-matrix.md</w:t>
      </w:r>
      <w:r>
        <w:t xml:space="preserve"> </w:t>
      </w:r>
      <w:r>
        <w:t xml:space="preserve">(what is held).</w:t>
      </w:r>
    </w:p>
    <w:bookmarkStart w:id="20" w:name="why-the-service-leads"/>
    <w:p>
      <w:pPr>
        <w:pStyle w:val="Heading1"/>
      </w:pPr>
      <w:r>
        <w:t xml:space="preserve">Why the service leads</w:t>
      </w:r>
    </w:p>
    <w:p>
      <w:pPr>
        <w:pStyle w:val="FirstParagraph"/>
      </w:pPr>
      <w:r>
        <w:t xml:space="preserve">Run 1's comparison still holds, and it is why the founder's choice is sound: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1844"/>
        <w:gridCol w:w="3889"/>
        <w:gridCol w:w="3627"/>
      </w:tblGrid>
      <w:tr>
        <w:trPr>
          <w:tblHeader w:val="true"/>
        </w:trPr>
        <w:tc>
          <w:tcPr>
            <w:tcW w:w="184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Dimension</w:t>
            </w:r>
          </w:p>
        </w:tc>
        <w:tc>
          <w:tcPr>
            <w:tcW w:w="3889" w:type="dxa"/>
            <w:shd w:val="clear" w:color="auto" w:fill="FFD9B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8A3B00"/>
                <w:sz w:val="19"/>
              </w:rPr>
              <w:t xml:space="preserve">Done-for-you service</w:t>
            </w:r>
          </w:p>
        </w:tc>
        <w:tc>
          <w:tcPr>
            <w:tcW w:w="3627" w:type="dxa"/>
            <w:shd w:val="clear" w:color="auto" w:fill="E6DB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4B2A99"/>
                <w:sz w:val="19"/>
              </w:rPr>
              <w:t xml:space="preserve">SaaS</w:t>
            </w:r>
          </w:p>
        </w:tc>
      </w:tr>
      <w:tr>
        <w:trPr/>
        <w:tc>
          <w:tcPr>
            <w:tcW w:w="184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Start</w:t>
            </w:r>
          </w:p>
        </w:tc>
        <w:tc>
          <w:tcPr>
            <w:tcW w:w="38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Easy: revenue from the first client, on software that already exists</w:t>
            </w:r>
          </w:p>
        </w:tc>
        <w:tc>
          <w:tcPr>
            <w:tcW w:w="362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Hard: the product has to exist and win users first</w:t>
            </w:r>
          </w:p>
        </w:tc>
      </w:tr>
      <w:tr>
        <w:trPr/>
        <w:tc>
          <w:tcPr>
            <w:tcW w:w="184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Scale</w:t>
            </w:r>
          </w:p>
        </w:tc>
        <w:tc>
          <w:tcPr>
            <w:tcW w:w="38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Hard: each account adds labor</w:t>
            </w:r>
          </w:p>
        </w:tc>
        <w:tc>
          <w:tcPr>
            <w:tcW w:w="362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Easy: the next account costs little to serve</w:t>
            </w:r>
          </w:p>
        </w:tc>
      </w:tr>
      <w:tr>
        <w:trPr/>
        <w:tc>
          <w:tcPr>
            <w:tcW w:w="184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Sell</w:t>
            </w:r>
          </w:p>
        </w:tc>
        <w:tc>
          <w:tcPr>
            <w:tcW w:w="38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Easy: the buyer pays for work to be done</w:t>
            </w:r>
          </w:p>
        </w:tc>
        <w:tc>
          <w:tcPr>
            <w:tcW w:w="362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Hard: the buyer pays for a capability they must operate</w:t>
            </w:r>
          </w:p>
        </w:tc>
      </w:tr>
      <w:tr>
        <w:trPr/>
        <w:tc>
          <w:tcPr>
            <w:tcW w:w="184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Fulfill</w:t>
            </w:r>
          </w:p>
        </w:tc>
        <w:tc>
          <w:tcPr>
            <w:tcW w:w="38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Hard: the vendor does the work</w:t>
            </w:r>
          </w:p>
        </w:tc>
        <w:tc>
          <w:tcPr>
            <w:tcW w:w="362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Easy: the software does the work</w:t>
            </w:r>
          </w:p>
        </w:tc>
      </w:tr>
      <w:tr>
        <w:trPr/>
        <w:tc>
          <w:tcPr>
            <w:tcW w:w="184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Who does the work</w:t>
            </w:r>
          </w:p>
        </w:tc>
        <w:tc>
          <w:tcPr>
            <w:tcW w:w="38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vendor</w:t>
            </w:r>
          </w:p>
        </w:tc>
        <w:tc>
          <w:tcPr>
            <w:tcW w:w="362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client</w:t>
            </w:r>
          </w:p>
        </w:tc>
      </w:tr>
      <w:tr>
        <w:trPr/>
        <w:tc>
          <w:tcPr>
            <w:tcW w:w="184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Outcome certainty</w:t>
            </w:r>
          </w:p>
        </w:tc>
        <w:tc>
          <w:tcPr>
            <w:tcW w:w="38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High: the result does not depend on the buyer finding time</w:t>
            </w:r>
          </w:p>
        </w:tc>
        <w:tc>
          <w:tcPr>
            <w:tcW w:w="362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Lower: the result depends on the buyer using the tool</w:t>
            </w:r>
          </w:p>
        </w:tc>
      </w:tr>
    </w:tbl>
    <w:p>
      <w:pPr>
        <w:pStyle w:val="BodyText"/>
        <w:spacing w:before="160"/>
      </w:pPr>
      <w:r>
        <w:t xml:space="preserve">For Rempo the service is what the evidence supports (Phase 0), what the competitors leave open (Phase 2), and what can be sold this month at a price that pays for advertising (Phase 9). The product layer is where margin can grow later, once the service has the customers.</w:t>
      </w:r>
    </w:p>
    <w:bookmarkEnd w:id="20"/>
    <w:bookmarkStart w:id="21" w:name="the-ladder-one-funnel-two-layers"/>
    <w:p>
      <w:pPr>
        <w:pStyle w:val="Heading1"/>
      </w:pPr>
      <w:r>
        <w:t xml:space="preserve">The ladder: one funnel, two layers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992"/>
        <w:gridCol w:w="1856"/>
        <w:gridCol w:w="1121"/>
        <w:gridCol w:w="1481"/>
        <w:gridCol w:w="1537"/>
        <w:gridCol w:w="2373"/>
      </w:tblGrid>
      <w:tr>
        <w:trPr>
          <w:tblHeader w:val="true"/>
        </w:trPr>
        <w:tc>
          <w:tcPr>
            <w:tcW w:w="992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Step</w:t>
            </w:r>
          </w:p>
        </w:tc>
        <w:tc>
          <w:tcPr>
            <w:tcW w:w="185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Offer</w:t>
            </w:r>
          </w:p>
        </w:tc>
        <w:tc>
          <w:tcPr>
            <w:tcW w:w="1121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Layer</w:t>
            </w:r>
          </w:p>
        </w:tc>
        <w:tc>
          <w:tcPr>
            <w:tcW w:w="1481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When it is offered</w:t>
            </w:r>
          </w:p>
        </w:tc>
        <w:tc>
          <w:tcPr>
            <w:tcW w:w="1537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Who delivers</w:t>
            </w:r>
          </w:p>
        </w:tc>
        <w:tc>
          <w:tcPr>
            <w:tcW w:w="2373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Price</w:t>
            </w:r>
          </w:p>
        </w:tc>
      </w:tr>
      <w:tr>
        <w:trPr/>
        <w:tc>
          <w:tcPr>
            <w:tcW w:w="9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0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Review Engine Scorecard and Gap Report</w:t>
            </w:r>
          </w:p>
        </w:tc>
        <w:tc>
          <w:tcPr>
            <w:tcW w:w="1121" w:type="dxa"/>
            <w:shd w:val="clear" w:color="auto" w:fill="DDF6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075A73"/>
                <w:sz w:val="19"/>
              </w:rPr>
              <w:t xml:space="preserve">Free</w:t>
            </w:r>
          </w:p>
        </w:tc>
        <w:tc>
          <w:tcPr>
            <w:tcW w:w="148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Ads, VSL page exit, search</w:t>
            </w:r>
          </w:p>
        </w:tc>
        <w:tc>
          <w:tcPr>
            <w:tcW w:w="15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Automated; assistant for the report</w:t>
            </w:r>
          </w:p>
        </w:tc>
        <w:tc>
          <w:tcPr>
            <w:tcW w:w="237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Free, with opt-in</w:t>
            </w:r>
          </w:p>
        </w:tc>
      </w:tr>
      <w:tr>
        <w:trPr/>
        <w:tc>
          <w:tcPr>
            <w:tcW w:w="9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1</w:t>
            </w:r>
          </w:p>
        </w:tc>
        <w:tc>
          <w:tcPr>
            <w:tcW w:w="185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Review Engine</w:t>
            </w:r>
          </w:p>
        </w:tc>
        <w:tc>
          <w:tcPr>
            <w:tcW w:w="1121" w:type="dxa"/>
            <w:shd w:val="clear" w:color="auto" w:fill="FFD9B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8A3B00"/>
                <w:sz w:val="19"/>
              </w:rPr>
              <w:t xml:space="preserve">Service</w:t>
            </w:r>
          </w:p>
        </w:tc>
        <w:tc>
          <w:tcPr>
            <w:tcW w:w="148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VSL page, checkout</w:t>
            </w:r>
          </w:p>
        </w:tc>
        <w:tc>
          <w:tcPr>
            <w:tcW w:w="153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Rempo's team</w:t>
            </w:r>
          </w:p>
        </w:tc>
        <w:tc>
          <w:tcPr>
            <w:tcW w:w="237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$197/location/month plus $299 setup</w:t>
            </w:r>
          </w:p>
        </w:tc>
      </w:tr>
      <w:tr>
        <w:trPr/>
        <w:tc>
          <w:tcPr>
            <w:tcW w:w="9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2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GBP Tune-Up</w:t>
            </w:r>
          </w:p>
        </w:tc>
        <w:tc>
          <w:tcPr>
            <w:tcW w:w="1121" w:type="dxa"/>
            <w:shd w:val="clear" w:color="auto" w:fill="FFD9B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8A3B00"/>
                <w:sz w:val="19"/>
              </w:rPr>
              <w:t xml:space="preserve">Service</w:t>
            </w:r>
          </w:p>
        </w:tc>
        <w:tc>
          <w:tcPr>
            <w:tcW w:w="148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Order bump at checkout</w:t>
            </w:r>
          </w:p>
        </w:tc>
        <w:tc>
          <w:tcPr>
            <w:tcW w:w="15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Assistant</w:t>
            </w:r>
          </w:p>
        </w:tc>
        <w:tc>
          <w:tcPr>
            <w:tcW w:w="237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$197 one-time</w:t>
            </w:r>
          </w:p>
        </w:tc>
      </w:tr>
      <w:tr>
        <w:trPr/>
        <w:tc>
          <w:tcPr>
            <w:tcW w:w="9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3</w:t>
            </w:r>
          </w:p>
        </w:tc>
        <w:tc>
          <w:tcPr>
            <w:tcW w:w="185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GBP Upkeep</w:t>
            </w:r>
          </w:p>
        </w:tc>
        <w:tc>
          <w:tcPr>
            <w:tcW w:w="1121" w:type="dxa"/>
            <w:shd w:val="clear" w:color="auto" w:fill="FFD9B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8A3B00"/>
                <w:sz w:val="19"/>
              </w:rPr>
              <w:t xml:space="preserve">Service</w:t>
            </w:r>
          </w:p>
        </w:tc>
        <w:tc>
          <w:tcPr>
            <w:tcW w:w="148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One-click upsell after payment</w:t>
            </w:r>
          </w:p>
        </w:tc>
        <w:tc>
          <w:tcPr>
            <w:tcW w:w="153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Automated, checked by the assistant</w:t>
            </w:r>
          </w:p>
        </w:tc>
        <w:tc>
          <w:tcPr>
            <w:tcW w:w="237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$97/location/month</w:t>
            </w:r>
          </w:p>
        </w:tc>
      </w:tr>
      <w:tr>
        <w:trPr/>
        <w:tc>
          <w:tcPr>
            <w:tcW w:w="9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4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Website</w:t>
            </w:r>
          </w:p>
        </w:tc>
        <w:tc>
          <w:tcPr>
            <w:tcW w:w="1121" w:type="dxa"/>
            <w:shd w:val="clear" w:color="auto" w:fill="FFD9B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8A3B00"/>
                <w:sz w:val="19"/>
              </w:rPr>
              <w:t xml:space="preserve">Service</w:t>
            </w:r>
          </w:p>
        </w:tc>
        <w:tc>
          <w:tcPr>
            <w:tcW w:w="148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30-day review call, after a site check</w:t>
            </w:r>
          </w:p>
        </w:tc>
        <w:tc>
          <w:tcPr>
            <w:tcW w:w="15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Assistant (WordPress template)</w:t>
            </w:r>
          </w:p>
        </w:tc>
        <w:tc>
          <w:tcPr>
            <w:tcW w:w="237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$1,497 plus $49/month</w:t>
            </w:r>
          </w:p>
        </w:tc>
      </w:tr>
      <w:tr>
        <w:trPr/>
        <w:tc>
          <w:tcPr>
            <w:tcW w:w="9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5</w:t>
            </w:r>
          </w:p>
        </w:tc>
        <w:tc>
          <w:tcPr>
            <w:tcW w:w="185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AI voice receptionist</w:t>
            </w:r>
          </w:p>
        </w:tc>
        <w:tc>
          <w:tcPr>
            <w:tcW w:w="1121" w:type="dxa"/>
            <w:shd w:val="clear" w:color="auto" w:fill="E6DB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Product</w:t>
            </w:r>
          </w:p>
        </w:tc>
        <w:tc>
          <w:tcPr>
            <w:tcW w:w="148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30-day review or later, when call data shows missed calls</w:t>
            </w:r>
          </w:p>
        </w:tc>
        <w:tc>
          <w:tcPr>
            <w:tcW w:w="153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Set up by Rempo, runs as software</w:t>
            </w:r>
          </w:p>
        </w:tc>
        <w:tc>
          <w:tcPr>
            <w:tcW w:w="2373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7A5B00"/>
                <w:sz w:val="19"/>
              </w:rPr>
              <w:t xml:space="preserve">$97/month, setup</w:t>
            </w:r>
            <w:r>
              <w:rPr>
                <w:rFonts w:ascii="Arial" w:hAnsi="Arial"/>
                <w:color w:val="7A5B00"/>
                <w:sz w:val="19"/>
              </w:rPr>
              <w:t xml:space="preserve"> </w:t>
            </w: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</w:p>
        </w:tc>
      </w:tr>
      <w:tr>
        <w:trPr/>
        <w:tc>
          <w:tcPr>
            <w:tcW w:w="9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6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Other product add-ons (inbox, booking, chat, pipeline, reactivation, referrals, listings)</w:t>
            </w:r>
          </w:p>
        </w:tc>
        <w:tc>
          <w:tcPr>
            <w:tcW w:w="1121" w:type="dxa"/>
            <w:shd w:val="clear" w:color="auto" w:fill="E6DB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Product</w:t>
            </w:r>
          </w:p>
        </w:tc>
        <w:tc>
          <w:tcPr>
            <w:tcW w:w="148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Only under the release rule below</w:t>
            </w:r>
          </w:p>
        </w:tc>
        <w:tc>
          <w:tcPr>
            <w:tcW w:w="15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Set up by Rempo, run as software</w:t>
            </w:r>
          </w:p>
        </w:tc>
        <w:tc>
          <w:tcPr>
            <w:tcW w:w="237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Priced when first released</w:t>
            </w:r>
          </w:p>
        </w:tc>
      </w:tr>
      <w:tr>
        <w:trPr/>
        <w:tc>
          <w:tcPr>
            <w:tcW w:w="99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7</w:t>
            </w:r>
          </w:p>
        </w:tc>
        <w:tc>
          <w:tcPr>
            <w:tcW w:w="185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Annual plan</w:t>
            </w:r>
          </w:p>
        </w:tc>
        <w:tc>
          <w:tcPr>
            <w:tcW w:w="1121" w:type="dxa"/>
            <w:shd w:val="clear" w:color="auto" w:fill="E7EBF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A5568"/>
                <w:sz w:val="19"/>
              </w:rPr>
              <w:t xml:space="preserve">Terms</w:t>
            </w:r>
          </w:p>
        </w:tc>
        <w:tc>
          <w:tcPr>
            <w:tcW w:w="148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Month 3</w:t>
            </w:r>
          </w:p>
        </w:tc>
        <w:tc>
          <w:tcPr>
            <w:tcW w:w="153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Billing</w:t>
            </w:r>
          </w:p>
        </w:tc>
        <w:tc>
          <w:tcPr>
            <w:tcW w:w="237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Two months free, setup credited</w:t>
            </w:r>
          </w:p>
        </w:tc>
      </w:tr>
      <w:tr>
        <w:trPr/>
        <w:tc>
          <w:tcPr>
            <w:tcW w:w="99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Anchor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Three or more locations, or custom</w:t>
            </w:r>
          </w:p>
        </w:tc>
        <w:tc>
          <w:tcPr>
            <w:tcW w:w="1121" w:type="dxa"/>
            <w:shd w:val="clear" w:color="auto" w:fill="FFD9B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8A3B00"/>
                <w:sz w:val="19"/>
              </w:rPr>
              <w:t xml:space="preserve">Service and product</w:t>
            </w:r>
          </w:p>
        </w:tc>
        <w:tc>
          <w:tcPr>
            <w:tcW w:w="148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"Book a call" bumper</w:t>
            </w:r>
          </w:p>
        </w:tc>
        <w:tc>
          <w:tcPr>
            <w:tcW w:w="15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founder</w:t>
            </w:r>
          </w:p>
        </w:tc>
        <w:tc>
          <w:tcPr>
            <w:tcW w:w="237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Quoted per location</w:t>
            </w:r>
          </w:p>
        </w:tc>
      </w:tr>
    </w:tbl>
    <w:p>
      <w:pPr>
        <w:pStyle w:val="BodyText"/>
        <w:spacing w:before="160"/>
      </w:pPr>
      <w:r>
        <w:t xml:space="preserve">Every step reaches the same buyer through the same funnel: the same ads, the same VSL, the same onboarding call, the same 30-day review. Nothing in the product layer has its own trial, its own landing page, or its own ICP.</w:t>
      </w:r>
    </w:p>
    <w:bookmarkEnd w:id="21"/>
    <w:bookmarkStart w:id="22" w:name="Xebf847ab8205b779db5adab5375ebf7e79b8d04"/>
    <w:p>
      <w:pPr>
        <w:pStyle w:val="Heading1"/>
      </w:pPr>
      <w:r>
        <w:t xml:space="preserve">The release rule: when a product item leaves "Hold"</w:t>
      </w:r>
    </w:p>
    <w:p>
      <w:pPr>
        <w:pStyle w:val="FirstParagraph"/>
      </w:pPr>
      <w:r>
        <w:t xml:space="preserve">The founder prefers not to add software features, to limit support. The rule makes that preference explicit and testable. A held item is released only when all five are true: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Asked for.</w:t>
      </w:r>
      <w:r>
        <w:t xml:space="preserve"> </w:t>
      </w:r>
      <w:r>
        <w:t xml:space="preserve">At least two paying clients have asked for it without being prompted (</w:t>
      </w:r>
      <w:r>
        <w:rPr>
          <w:rStyle w:val="TBD"/>
        </w:rPr>
        <w:t xml:space="preserve">{TBD}</w:t>
      </w:r>
      <w:r>
        <w:t xml:space="preserve">: the founder may set a different number).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Visible in their data.</w:t>
      </w:r>
      <w:r>
        <w:t xml:space="preserve"> </w:t>
      </w:r>
      <w:r>
        <w:t xml:space="preserve">The account's own data shows the problem: missed calls for the receptionist, messages lost across apps for the inbox.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Delivered done-for-you.</w:t>
      </w:r>
      <w:r>
        <w:t xml:space="preserve"> </w:t>
      </w:r>
      <w:r>
        <w:t xml:space="preserve">Rempo sets it up and tunes it; the client never configures software.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support playbook exists</w:t>
      </w:r>
      <w:r>
        <w:t xml:space="preserve"> </w:t>
      </w:r>
      <w:r>
        <w:t xml:space="preserve">before the first sale: the five most likely questions, answered, and a cap on support time per account per month (</w:t>
      </w:r>
      <w:r>
        <w:rPr>
          <w:rStyle w:val="TBD"/>
        </w:rPr>
        <w:t xml:space="preserve">{TBD}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Priced as an add-on to the service,</w:t>
      </w:r>
      <w:r>
        <w:t xml:space="preserve"> </w:t>
      </w:r>
      <w:r>
        <w:t xml:space="preserve">not as a standalone software plan, so the buyer stays one customer with one relationship.</w:t>
      </w:r>
    </w:p>
    <w:bookmarkEnd w:id="22"/>
    <w:bookmarkStart w:id="23" w:name="what-keeps-it-one-company"/>
    <w:p>
      <w:pPr>
        <w:pStyle w:val="Heading1"/>
      </w:pPr>
      <w:r>
        <w:t xml:space="preserve">What keeps it one company</w:t>
      </w:r>
    </w:p>
    <w:p>
      <w:pPr>
        <w:pStyle w:val="FirstParagraph"/>
      </w:pPr>
      <w:r>
        <w:t xml:space="preserve">Run 1 showed that running a service and a software product separately doubles the team, the ICP, and the marketing, and slows both. The ladder above avoids that because: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1883"/>
        <w:gridCol w:w="7477"/>
      </w:tblGrid>
      <w:tr>
        <w:trPr>
          <w:tblHeader w:val="true"/>
        </w:trPr>
        <w:tc>
          <w:tcPr>
            <w:tcW w:w="1883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Function</w:t>
            </w:r>
          </w:p>
        </w:tc>
        <w:tc>
          <w:tcPr>
            <w:tcW w:w="7477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Run 2's rule</w:t>
            </w:r>
          </w:p>
        </w:tc>
      </w:tr>
      <w:tr>
        <w:trPr/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ICP</w:t>
            </w:r>
          </w:p>
        </w:tc>
        <w:tc>
          <w:tcPr>
            <w:tcW w:w="747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One. Product add-ons are sold only to service clients</w:t>
            </w:r>
          </w:p>
        </w:tc>
      </w:tr>
      <w:tr>
        <w:trPr/>
        <w:tc>
          <w:tcPr>
            <w:tcW w:w="188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Marketing</w:t>
            </w:r>
          </w:p>
        </w:tc>
        <w:tc>
          <w:tcPr>
            <w:tcW w:w="747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One message (Phase 3); the product layer never leads an ad</w:t>
            </w:r>
          </w:p>
        </w:tc>
      </w:tr>
      <w:tr>
        <w:trPr/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Funnel</w:t>
            </w:r>
          </w:p>
        </w:tc>
        <w:tc>
          <w:tcPr>
            <w:tcW w:w="747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One. Product add-ons are offered at the 30-day review and later, never at the front</w:t>
            </w:r>
          </w:p>
        </w:tc>
      </w:tr>
      <w:tr>
        <w:trPr/>
        <w:tc>
          <w:tcPr>
            <w:tcW w:w="188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Team</w:t>
            </w:r>
          </w:p>
        </w:tc>
        <w:tc>
          <w:tcPr>
            <w:tcW w:w="747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One. The assistant delivers both layers; no product team until the triggers below</w:t>
            </w:r>
          </w:p>
        </w:tc>
      </w:tr>
      <w:tr>
        <w:trPr/>
        <w:tc>
          <w:tcPr>
            <w:tcW w:w="188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Numbers</w:t>
            </w:r>
          </w:p>
        </w:tc>
        <w:tc>
          <w:tcPr>
            <w:tcW w:w="747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One scorecard, with the add-ons as attach rates and support time per account</w:t>
            </w:r>
          </w:p>
        </w:tc>
      </w:tr>
    </w:tbl>
    <w:bookmarkEnd w:id="23"/>
    <w:bookmarkStart w:id="24" w:name="support-load-guardrail"/>
    <w:p>
      <w:pPr>
        <w:pStyle w:val="Heading1"/>
      </w:pPr>
      <w:r>
        <w:t xml:space="preserve">Support load guardrail</w:t>
      </w:r>
    </w:p>
    <w:p>
      <w:pPr>
        <w:pStyle w:val="FirstParagraph"/>
      </w:pPr>
      <w:r>
        <w:t xml:space="preserve">Measured from the first add-on sale: support requests per account per month, by add-on, and founder and assistant minutes per request. An add-on whose support time exceeds the cap two months running goes back to "Hold" for new sales until its playbook is fixed.</w:t>
      </w:r>
    </w:p>
    <w:bookmarkEnd w:id="24"/>
    <w:bookmarkStart w:id="25" w:name="when-to-revisit"/>
    <w:p>
      <w:pPr>
        <w:pStyle w:val="Heading1"/>
      </w:pPr>
      <w:r>
        <w:t xml:space="preserve">When to revisit</w:t>
      </w:r>
    </w:p>
    <w:p>
      <w:pPr>
        <w:pStyle w:val="FirstParagraph"/>
      </w:pPr>
      <w:r>
        <w:t xml:space="preserve">Triggers to watch, not dates: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Hours per account fall</w:t>
      </w:r>
      <w:r>
        <w:t xml:space="preserve"> </w:t>
      </w:r>
      <w:r>
        <w:t xml:space="preserve">far enough that one assistant runs many more accounts: the service starts to scale like software.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Clients ask to run it themselves:</w:t>
      </w:r>
      <w:r>
        <w:t xml:space="preserve"> </w:t>
      </w:r>
      <w:r>
        <w:t xml:space="preserve">a software-only plan may have a buyer.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Agencies ask to resell Rempo's program:</w:t>
      </w:r>
      <w:r>
        <w:t xml:space="preserve"> </w:t>
      </w:r>
      <w:r>
        <w:t xml:space="preserve">the implementer route from Run 1 opens.</w:t>
      </w:r>
    </w:p>
    <w:p>
      <w:pPr>
        <w:pStyle w:val="FirstParagraph"/>
      </w:pPr>
      <w:r>
        <w:t xml:space="preserve">Each needs the time log by task (</w:t>
      </w:r>
      <w:r>
        <w:rPr>
          <w:rStyle w:val="VerbatimChar"/>
        </w:rPr>
        <w:t xml:space="preserve">gtm-requirements-for-product.md</w:t>
      </w:r>
      <w:r>
        <w:t xml:space="preserve">), which is why it starts on day one.</w:t>
      </w:r>
    </w:p>
    <w:bookmarkEnd w:id="25"/>
    <w:sectPr>
      <w:headerReference w:type="default" r:id="rId9"/>
      <w:footerReference w:type="default" r:id="rId10"/>
      <w:pgSz w:h="15840" w:w="12240"/>
      <w:pgMar w:bottom="1296" w:left="1440" w:right="1440" w:top="1296" w:header="648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E6F8E"/>
        <w:sz w:val="17"/>
      </w:rPr>
      <w:t xml:space="preserve">Offer Architecture  ·  page </w:t>
    </w:r>
    <w:r>
      <w:rPr>
        <w:color w:val="5E6F8E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84490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mpo-lockup-on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4906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B2A44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Arial" w:cs="Arial" w:eastAsia="Arial" w:hAnsi="Arial"/>
      <w:color w:val="1B2A4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B2A4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B2A4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center"/>
    </w:pPr>
    <w:rPr>
      <w:rFonts w:ascii="Arial" w:cs="Arial" w:eastAsia="Arial" w:hAnsi="Arial"/>
      <w:b/>
      <w:bCs/>
      <w:color w:val="0A1A3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" w:before="240"/>
      <w:jc w:val="center"/>
    </w:pPr>
    <w:rPr>
      <w:rFonts w:ascii="Arial" w:cs="Arial" w:eastAsia="Arial" w:hAnsi="Arial"/>
      <w:b w:val="0"/>
      <w:color w:val="5E6F8E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styleId="Date" w:type="paragraph">
    <w:name w:val="Date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color w:val="0A1A3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Arial" w:cs="Arial" w:eastAsia="Arial" w:hAnsi="Arial"/>
      <w:b/>
      <w:bCs/>
      <w:color w:val="1A5CF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A1A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/>
      <w:b/>
      <w:bCs/>
      <w:color w:val="1A5CF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Arial" w:cs="Arial" w:eastAsia="Arial" w:hAnsi="Arial"/>
      <w:b/>
      <w:iCs/>
      <w:color w:val="0A1A33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3B4E70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A5BD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BD" w:type="character">
    <w:name w:val="TBD"/>
    <w:rPr>
      <w:i/>
      <w:color w:val="7A5B00"/>
      <w:highlight w:val="yellow"/>
    </w:rPr>
  </w:style>
  <w:style w:customStyle="1" w:styleId="Deferred" w:type="character">
    <w:name w:val="Deferred"/>
    <w:rPr>
      <w:i/>
      <w:color w:val="4B2A9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Architecture</dc:title>
  <dc:creator>Rempo</dc:creator>
  <cp:keywords/>
  <dcterms:created xsi:type="dcterms:W3CDTF">2026-10-19T00:00:00Z</dcterms:created>
  <dcterms:modified xsi:type="dcterms:W3CDTF">2026-10-19T00:00:00Z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Rempo go-to-market, Run 2. Skill phase: Phase 11 (added).</vt:lpwstr>
  </property>
</Properties>
</file>