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rPr>
        <w:t>Positioning Summary — Flobase</w:t>
      </w:r>
    </w:p>
    <w:p>
      <w:pPr>
        <w:jc w:val="left"/>
      </w:pPr>
      <w:r>
        <w:t xml:space="preserve">Companion document to Dashboard 2, Competitive Market Analysis. Source tables and scoring live in </w:t>
      </w:r>
      <w:r>
        <w:rPr>
          <w:rFonts w:ascii="Consolas" w:hAnsi="Consolas"/>
          <w:sz w:val="18"/>
        </w:rPr>
        <w:t>competitive_analysis.xlsx</w:t>
      </w:r>
      <w:r>
        <w:t>.</w:t>
      </w:r>
    </w:p>
    <w:p/>
    <w:p>
      <w:pPr>
        <w:pStyle w:val="Heading2"/>
      </w:pPr>
      <w:r>
        <w:rPr>
          <w:color w:val="1F3864"/>
        </w:rPr>
        <w:t>Positioning Vectors</w:t>
      </w:r>
    </w:p>
    <w:p>
      <w:pPr>
        <w:jc w:val="left"/>
      </w:pPr>
      <w:r>
        <w:t>Vectors 1 and 2 come from what 4 and 5 star reviews say competitors already lead in. Vectors 3 and 4 are the reverse of the repeated 1 to 3 star complaints, which is where Flobase can lead.</w:t>
      </w:r>
    </w:p>
    <w:p>
      <w:pPr>
        <w:jc w:val="left"/>
      </w:pPr>
      <w:r>
        <w:t>Scores 0 to 10.</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Positioning Vector</w:t>
            </w:r>
          </w:p>
        </w:tc>
        <w:tc>
          <w:tcPr>
            <w:tcW w:type="dxa" w:w="1080"/>
          </w:tcPr>
          <w:p>
            <w:r/>
            <w:r>
              <w:rPr>
                <w:b/>
              </w:rPr>
              <w:t>Flobase</w:t>
            </w:r>
          </w:p>
        </w:tc>
        <w:tc>
          <w:tcPr>
            <w:tcW w:type="dxa" w:w="1080"/>
          </w:tcPr>
          <w:p>
            <w:r/>
            <w:r>
              <w:rPr>
                <w:b/>
              </w:rPr>
              <w:t>Radius</w:t>
            </w:r>
          </w:p>
        </w:tc>
        <w:tc>
          <w:tcPr>
            <w:tcW w:type="dxa" w:w="1080"/>
          </w:tcPr>
          <w:p>
            <w:r/>
            <w:r>
              <w:rPr>
                <w:b/>
              </w:rPr>
              <w:t>AgencyBloc</w:t>
            </w:r>
          </w:p>
        </w:tc>
        <w:tc>
          <w:tcPr>
            <w:tcW w:type="dxa" w:w="1080"/>
          </w:tcPr>
          <w:p>
            <w:r/>
            <w:r>
              <w:rPr>
                <w:b/>
              </w:rPr>
              <w:t>Convoso</w:t>
            </w:r>
          </w:p>
        </w:tc>
        <w:tc>
          <w:tcPr>
            <w:tcW w:type="dxa" w:w="1080"/>
          </w:tcPr>
          <w:p>
            <w:r/>
            <w:r>
              <w:rPr>
                <w:b/>
              </w:rPr>
              <w:t>Ricochet360</w:t>
            </w:r>
          </w:p>
        </w:tc>
        <w:tc>
          <w:tcPr>
            <w:tcW w:type="dxa" w:w="1080"/>
          </w:tcPr>
          <w:p>
            <w:r/>
            <w:r>
              <w:rPr>
                <w:b/>
              </w:rPr>
              <w:t>Agent CRM</w:t>
            </w:r>
          </w:p>
        </w:tc>
        <w:tc>
          <w:tcPr>
            <w:tcW w:type="dxa" w:w="1080"/>
          </w:tcPr>
          <w:p>
            <w:r/>
            <w:r>
              <w:rPr>
                <w:b/>
              </w:rPr>
              <w:t>EverQuote</w:t>
            </w:r>
          </w:p>
        </w:tc>
      </w:tr>
      <w:tr>
        <w:tc>
          <w:tcPr>
            <w:tcW w:type="dxa" w:w="1080"/>
          </w:tcPr>
          <w:p>
            <w:r/>
            <w:r>
              <w:t>V1 Outbound dialing throughput (they lead)</w:t>
            </w:r>
          </w:p>
        </w:tc>
        <w:tc>
          <w:tcPr>
            <w:tcW w:type="dxa" w:w="1080"/>
          </w:tcPr>
          <w:p>
            <w:r/>
            <w:r>
              <w:t>7.4</w:t>
            </w:r>
          </w:p>
        </w:tc>
        <w:tc>
          <w:tcPr>
            <w:tcW w:type="dxa" w:w="1080"/>
          </w:tcPr>
          <w:p>
            <w:r/>
            <w:r>
              <w:t>6.2</w:t>
            </w:r>
          </w:p>
        </w:tc>
        <w:tc>
          <w:tcPr>
            <w:tcW w:type="dxa" w:w="1080"/>
          </w:tcPr>
          <w:p>
            <w:r/>
            <w:r>
              <w:t>4.1</w:t>
            </w:r>
          </w:p>
        </w:tc>
        <w:tc>
          <w:tcPr>
            <w:tcW w:type="dxa" w:w="1080"/>
          </w:tcPr>
          <w:p>
            <w:r/>
            <w:r>
              <w:t>9.6</w:t>
            </w:r>
          </w:p>
        </w:tc>
        <w:tc>
          <w:tcPr>
            <w:tcW w:type="dxa" w:w="1080"/>
          </w:tcPr>
          <w:p>
            <w:r/>
            <w:r>
              <w:t>8.8</w:t>
            </w:r>
          </w:p>
        </w:tc>
        <w:tc>
          <w:tcPr>
            <w:tcW w:type="dxa" w:w="1080"/>
          </w:tcPr>
          <w:p>
            <w:r/>
            <w:r>
              <w:t>6.7</w:t>
            </w:r>
          </w:p>
        </w:tc>
        <w:tc>
          <w:tcPr>
            <w:tcW w:type="dxa" w:w="1080"/>
          </w:tcPr>
          <w:p>
            <w:r/>
            <w:r>
              <w:t>2.3</w:t>
            </w:r>
          </w:p>
        </w:tc>
      </w:tr>
      <w:tr>
        <w:tc>
          <w:tcPr>
            <w:tcW w:type="dxa" w:w="1080"/>
          </w:tcPr>
          <w:p>
            <w:r/>
            <w:r>
              <w:t>V2 Policy and commission record depth (they lead)</w:t>
            </w:r>
          </w:p>
        </w:tc>
        <w:tc>
          <w:tcPr>
            <w:tcW w:type="dxa" w:w="1080"/>
          </w:tcPr>
          <w:p>
            <w:r/>
            <w:r>
              <w:t>6.1</w:t>
            </w:r>
          </w:p>
        </w:tc>
        <w:tc>
          <w:tcPr>
            <w:tcW w:type="dxa" w:w="1080"/>
          </w:tcPr>
          <w:p>
            <w:r/>
            <w:r>
              <w:t>6.4</w:t>
            </w:r>
          </w:p>
        </w:tc>
        <w:tc>
          <w:tcPr>
            <w:tcW w:type="dxa" w:w="1080"/>
          </w:tcPr>
          <w:p>
            <w:r/>
            <w:r>
              <w:t>9.5</w:t>
            </w:r>
          </w:p>
        </w:tc>
        <w:tc>
          <w:tcPr>
            <w:tcW w:type="dxa" w:w="1080"/>
          </w:tcPr>
          <w:p>
            <w:r/>
            <w:r>
              <w:t>1.8</w:t>
            </w:r>
          </w:p>
        </w:tc>
        <w:tc>
          <w:tcPr>
            <w:tcW w:type="dxa" w:w="1080"/>
          </w:tcPr>
          <w:p>
            <w:r/>
            <w:r>
              <w:t>3.2</w:t>
            </w:r>
          </w:p>
        </w:tc>
        <w:tc>
          <w:tcPr>
            <w:tcW w:type="dxa" w:w="1080"/>
          </w:tcPr>
          <w:p>
            <w:r/>
            <w:r>
              <w:t>4.6</w:t>
            </w:r>
          </w:p>
        </w:tc>
        <w:tc>
          <w:tcPr>
            <w:tcW w:type="dxa" w:w="1080"/>
          </w:tcPr>
          <w:p>
            <w:r/>
            <w:r>
              <w:t>1.2</w:t>
            </w:r>
          </w:p>
        </w:tc>
      </w:tr>
      <w:tr>
        <w:tc>
          <w:tcPr>
            <w:tcW w:type="dxa" w:w="1080"/>
          </w:tcPr>
          <w:p>
            <w:r/>
            <w:r>
              <w:t>V3 Spend-to-sale transparency (we lead)</w:t>
            </w:r>
          </w:p>
        </w:tc>
        <w:tc>
          <w:tcPr>
            <w:tcW w:type="dxa" w:w="1080"/>
          </w:tcPr>
          <w:p>
            <w:r/>
            <w:r>
              <w:t>9.3</w:t>
            </w:r>
          </w:p>
        </w:tc>
        <w:tc>
          <w:tcPr>
            <w:tcW w:type="dxa" w:w="1080"/>
          </w:tcPr>
          <w:p>
            <w:r/>
            <w:r>
              <w:t>4.2</w:t>
            </w:r>
          </w:p>
        </w:tc>
        <w:tc>
          <w:tcPr>
            <w:tcW w:type="dxa" w:w="1080"/>
          </w:tcPr>
          <w:p>
            <w:r/>
            <w:r>
              <w:t>5.8</w:t>
            </w:r>
          </w:p>
        </w:tc>
        <w:tc>
          <w:tcPr>
            <w:tcW w:type="dxa" w:w="1080"/>
          </w:tcPr>
          <w:p>
            <w:r/>
            <w:r>
              <w:t>4.9</w:t>
            </w:r>
          </w:p>
        </w:tc>
        <w:tc>
          <w:tcPr>
            <w:tcW w:type="dxa" w:w="1080"/>
          </w:tcPr>
          <w:p>
            <w:r/>
            <w:r>
              <w:t>3.7</w:t>
            </w:r>
          </w:p>
        </w:tc>
        <w:tc>
          <w:tcPr>
            <w:tcW w:type="dxa" w:w="1080"/>
          </w:tcPr>
          <w:p>
            <w:r/>
            <w:r>
              <w:t>4.4</w:t>
            </w:r>
          </w:p>
        </w:tc>
        <w:tc>
          <w:tcPr>
            <w:tcW w:type="dxa" w:w="1080"/>
          </w:tcPr>
          <w:p>
            <w:r/>
            <w:r>
              <w:t>5.1</w:t>
            </w:r>
          </w:p>
        </w:tc>
      </w:tr>
      <w:tr>
        <w:tc>
          <w:tcPr>
            <w:tcW w:type="dxa" w:w="1080"/>
          </w:tcPr>
          <w:p>
            <w:r/>
            <w:r>
              <w:t>V4 Single-tab agency operations (we lead)</w:t>
            </w:r>
          </w:p>
        </w:tc>
        <w:tc>
          <w:tcPr>
            <w:tcW w:type="dxa" w:w="1080"/>
          </w:tcPr>
          <w:p>
            <w:r/>
            <w:r>
              <w:t>9.1</w:t>
            </w:r>
          </w:p>
        </w:tc>
        <w:tc>
          <w:tcPr>
            <w:tcW w:type="dxa" w:w="1080"/>
          </w:tcPr>
          <w:p>
            <w:r/>
            <w:r>
              <w:t>5.6</w:t>
            </w:r>
          </w:p>
        </w:tc>
        <w:tc>
          <w:tcPr>
            <w:tcW w:type="dxa" w:w="1080"/>
          </w:tcPr>
          <w:p>
            <w:r/>
            <w:r>
              <w:t>5.9</w:t>
            </w:r>
          </w:p>
        </w:tc>
        <w:tc>
          <w:tcPr>
            <w:tcW w:type="dxa" w:w="1080"/>
          </w:tcPr>
          <w:p>
            <w:r/>
            <w:r>
              <w:t>4.3</w:t>
            </w:r>
          </w:p>
        </w:tc>
        <w:tc>
          <w:tcPr>
            <w:tcW w:type="dxa" w:w="1080"/>
          </w:tcPr>
          <w:p>
            <w:r/>
            <w:r>
              <w:t>6.8</w:t>
            </w:r>
          </w:p>
        </w:tc>
        <w:tc>
          <w:tcPr>
            <w:tcW w:type="dxa" w:w="1080"/>
          </w:tcPr>
          <w:p>
            <w:r/>
            <w:r>
              <w:t>7.2</w:t>
            </w:r>
          </w:p>
        </w:tc>
        <w:tc>
          <w:tcPr>
            <w:tcW w:type="dxa" w:w="1080"/>
          </w:tcPr>
          <w:p>
            <w:r/>
            <w:r>
              <w:t>2.1</w:t>
            </w:r>
          </w:p>
        </w:tc>
      </w:tr>
    </w:tbl>
    <w:p/>
    <w:p>
      <w:pPr>
        <w:jc w:val="left"/>
      </w:pPr>
      <w:r>
        <w:t>Derivation of the two vectors Flobase leads:</w:t>
      </w:r>
    </w:p>
    <w:p>
      <w:pPr>
        <w:pStyle w:val="ListBullet"/>
      </w:pPr>
      <w:r>
        <w:t xml:space="preserve">"Too expensive for what it offers", "no published price", "hidden costs after signing", "minimum spend", "no line from lead cost to issued policy" becomes </w:t>
      </w:r>
      <w:r>
        <w:rPr>
          <w:b/>
        </w:rPr>
        <w:t>V3 Spend-to-sale transparency</w:t>
      </w:r>
      <w:r>
        <w:t>.</w:t>
      </w:r>
    </w:p>
    <w:p>
      <w:pPr>
        <w:pStyle w:val="ListBullet"/>
      </w:pPr>
      <w:r>
        <w:t xml:space="preserve">"Four vendors to run one sales floor", "integrations break", "steep learning curve", "nothing tracks the downline" becomes </w:t>
      </w:r>
      <w:r>
        <w:rPr>
          <w:b/>
        </w:rPr>
        <w:t>V4 Single-tab agency operations</w:t>
      </w:r>
      <w:r>
        <w:t>.</w:t>
      </w:r>
    </w:p>
    <w:p/>
    <w:p>
      <w:pPr>
        <w:pStyle w:val="Heading2"/>
      </w:pPr>
      <w:r>
        <w:rPr>
          <w:color w:val="1F3864"/>
        </w:rPr>
        <w:t>Category Summary</w:t>
      </w:r>
    </w:p>
    <w:p>
      <w:pPr>
        <w:jc w:val="left"/>
      </w:pPr>
      <w:r>
        <w:rPr>
          <w:b/>
        </w:rPr>
        <w:t>V1 Outbound dialing throughput</w:t>
      </w:r>
    </w:p>
    <w:p>
      <w:pPr>
        <w:jc w:val="left"/>
      </w:pPr>
      <w:r>
        <w:t>Leader: Convoso.</w:t>
      </w:r>
    </w:p>
    <w:p>
      <w:pPr>
        <w:jc w:val="left"/>
      </w:pPr>
      <w:r>
        <w:t>Impact: Convoso acquires customers by promising more conversations per agent hour and proving it with contact-rate lift. That claim wins floors above twenty seats, and it makes cost per seat easy to justify, but it also caps Convoso at customers large enough to absorb custom pricing and a per-seat model. Agencies below that line are left out and stay in the market.</w:t>
      </w:r>
    </w:p>
    <w:p>
      <w:pPr>
        <w:jc w:val="left"/>
      </w:pPr>
      <w:r>
        <w:rPr>
          <w:b/>
        </w:rPr>
        <w:t>V2 Policy and commission record depth</w:t>
      </w:r>
    </w:p>
    <w:p>
      <w:pPr>
        <w:jc w:val="left"/>
      </w:pPr>
      <w:r>
        <w:t>Leader: AgencyBloc.</w:t>
      </w:r>
    </w:p>
    <w:p>
      <w:pPr>
        <w:jc w:val="left"/>
      </w:pPr>
      <w:r>
        <w:t>Impact: AgencyBloc acquires through the compliance and payment obligations an agency cannot avoid, then retains through the switching cost of remapped commissions. It converts slowly, at $109 per user per month on a one-year term, and it converts health, benefits and senior agencies far more readily than life telesales rooms, which is the gap Flobase enters through.</w:t>
      </w:r>
    </w:p>
    <w:p>
      <w:pPr>
        <w:jc w:val="left"/>
      </w:pPr>
      <w:r>
        <w:rPr>
          <w:b/>
        </w:rPr>
        <w:t>V3 Spend-to-sale transparency</w:t>
      </w:r>
    </w:p>
    <w:p>
      <w:pPr>
        <w:jc w:val="left"/>
      </w:pPr>
      <w:r>
        <w:t>Leader: Flobase.</w:t>
      </w:r>
    </w:p>
    <w:p>
      <w:pPr>
        <w:jc w:val="left"/>
      </w:pPr>
      <w:r>
        <w:t>Impact: Every complaint in the category about price is really a complaint about not knowing what the money bought. A product that publishes the cost per call, holds the budget, and shows the issued AP that came out of it converts on the demo itself, because the prospect brings their own numbers and sees them resolved. It shortens the sales cycle and makes the trial the proof.</w:t>
      </w:r>
    </w:p>
    <w:p>
      <w:pPr>
        <w:jc w:val="left"/>
      </w:pPr>
      <w:r>
        <w:rPr>
          <w:b/>
        </w:rPr>
        <w:t>V4 Single-tab agency operations</w:t>
      </w:r>
    </w:p>
    <w:p>
      <w:pPr>
        <w:jc w:val="left"/>
      </w:pPr>
      <w:r>
        <w:t>Leader: Flobase.</w:t>
      </w:r>
    </w:p>
    <w:p>
      <w:pPr>
        <w:jc w:val="left"/>
      </w:pPr>
      <w:r>
        <w:t>Impact: Consolidation is a displacement motion, not a feature claim. Each competitor removed from the stack is a cancelled contract that funds Flobase, so the acquisition argument is arithmetic rather than preference. It also compounds: hierarchy, wallet and referral links mean an agency that recruits inside Flobase expands the account without a sales touch.</w:t>
      </w:r>
    </w:p>
    <w:p/>
    <w:p>
      <w:pPr>
        <w:pStyle w:val="Heading2"/>
      </w:pPr>
      <w:r>
        <w:rPr>
          <w:color w:val="1F3864"/>
        </w:rPr>
        <w:t>Flobase Positioning and Differentiation</w:t>
      </w:r>
    </w:p>
    <w:p>
      <w:pPr>
        <w:jc w:val="left"/>
      </w:pPr>
      <w:r>
        <w:t>Flobase can lead this category by owning the two things the incumbents' own reviewers say are missing: spend-to-sale transparency and single-tab agency operations. The category is fragmented by design. Convoso sells conversations, AgencyBloc sells the record, EverQuote sells the prospects, and the agency owner pays all three and still cannot say what a policy cost to issue. Flobase is the only product that holds the wallet, the lead, the call and the policy in the same ledger, which means it is the only one that can answer the owner's actual question. That makes acquisition cheaper than the category norm, because the sales conversation is the prospect's own P&amp;L rather than a feature comparison, and it makes the trial self-proving, because a funded wallet plus routed inbound calls demonstrates the value in days rather than after an implementation.</w:t>
      </w:r>
    </w:p>
    <w:p>
      <w:pPr>
        <w:jc w:val="left"/>
      </w:pPr>
      <w:r>
        <w:t>Growth and defensibility follow from the hierarchy. Every competitor sells to an agent or to a seat; Flobase sells to a structure that recruits into itself, so referral links and downline invites expand accounts without new sales cost, and each sub-agency added deepens the record. Defensibility is not the dialer, which Convoso and Ricochet360 will always beat on raw throughput, and it is not the policy record, which AgencyBloc holds more deeply. It is the two-sided position of being both the lead supplier and the system of record, because once an agency's budget, org chart and book all sit in one place, leaving means rebuilding three relationships at once. The strategic risks are the mirror image of that strength: no published pricing and no public proof today, no commission processing to hold the record against AgencyBloc, and a buyer who is being asked to concentrate four vendors into one young company. The first two are addressable in this GTM, the third is answered with data portability and published unit economics, not with reassurance.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