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4"/>
        </w:rPr>
        <w:t>FITZONE</w:t>
      </w:r>
    </w:p>
    <w:p>
      <w:pPr>
        <w:jc w:val="left"/>
      </w:pPr>
      <w:r>
        <w:rPr>
          <w:rFonts w:ascii="Calibri" w:hAnsi="Calibri"/>
          <w:b/>
          <w:color w:val="1F4E79"/>
          <w:sz w:val="44"/>
        </w:rPr>
        <w:t>Sprint Retrospective - Sprint 3</w:t>
      </w:r>
    </w:p>
    <w:p>
      <w:r>
        <w:rPr>
          <w:rFonts w:ascii="Calibri" w:hAnsi="Calibri"/>
          <w:i/>
          <w:color w:val="505050"/>
          <w:sz w:val="22"/>
        </w:rPr>
        <w:t>Autor: Andres Valdes</w:t>
      </w:r>
    </w:p>
    <w:p>
      <w:r>
        <w:rPr>
          <w:rFonts w:ascii="Calibri" w:hAnsi="Calibri"/>
          <w:i/>
          <w:color w:val="505050"/>
          <w:sz w:val="22"/>
        </w:rPr>
        <w:t>Fecha del informe: 19 de abril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Campo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Proyecto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FitZone - Sistema de gestión de gimnasio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Sprint analizado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Sprint 3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Foco retrospectivo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Resultados del trabajo, calidad técnica, dificultades y acciones de mejora para el siguiente ciclo.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Resultado general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Sprint con avance funcional sólido y mejora visible en calidad, pero con ajustes pendientes en repetibilidad y documentación.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Orientación para el siguiente sprint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Mantener calidad alcanzada, formalizar estrategia de persistencia y aislar mejor los datos de prueba.</w:t>
            </w:r>
          </w:p>
        </w:tc>
      </w:tr>
    </w:tbl>
    <w:p/>
    <w:p>
      <w:pPr>
        <w:pStyle w:val="Heading1"/>
      </w:pPr>
      <w:r>
        <w:t>Revisión histórica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Fecha</w:t>
            </w:r>
          </w:p>
        </w:tc>
        <w:tc>
          <w:tcPr>
            <w:tcW w:type="dxa" w:w="10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Versión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Descripción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Autor</w:t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19/04/2026</w:t>
            </w:r>
          </w:p>
        </w:tc>
        <w:tc>
          <w:tcPr>
            <w:tcW w:type="dxa" w:w="10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1.0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Creación del documento de retrospectiva del Sprint 3 a partir del incremento entregado y de las evidencias técnicas del proyecto.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Andres Valdes</w:t>
            </w:r>
          </w:p>
        </w:tc>
      </w:tr>
    </w:tbl>
    <w:p>
      <w:pPr>
        <w:pStyle w:val="Heading1"/>
      </w:pPr>
      <w:r>
        <w:t>Contexto del sprint</w:t>
      </w:r>
    </w:p>
    <w:p>
      <w:pPr>
        <w:spacing w:after="160" w:line="276" w:lineRule="auto"/>
      </w:pPr>
      <w:r>
        <w:t>El Sprint 3 estuvo orientado a cubrir la administración interna del gimnasio. Esto implicó implementar o consolidar módulos de asistencia, contabilidad, gestión del personal, incidencias, notificaciones, evaluaciones y reasignación de horarios.</w:t>
      </w:r>
    </w:p>
    <w:p>
      <w:pPr>
        <w:spacing w:after="160" w:line="276" w:lineRule="auto"/>
      </w:pPr>
      <w:r>
        <w:t>La retrospectiva toma como referencia el backlog del sprint, el programa entregado y el cierre técnico observado en SonarQube.</w:t>
      </w:r>
    </w:p>
    <w:p>
      <w:pPr>
        <w:pStyle w:val="Heading1"/>
      </w:pPr>
      <w:r>
        <w:t>¿Qué salió bien?</w:t>
      </w:r>
    </w:p>
    <w:p>
      <w:pPr>
        <w:pStyle w:val="ListBullet"/>
        <w:spacing w:after="80" w:line="264" w:lineRule="auto"/>
      </w:pPr>
      <w:r>
        <w:t>El cierre técnico mejoró de forma clara: el último análisis de SonarQube pasó de Failed a Passed dentro del mismo día de cierre.</w:t>
      </w:r>
    </w:p>
    <w:p>
      <w:pPr>
        <w:pStyle w:val="ListBullet"/>
        <w:spacing w:after="80" w:line="264" w:lineRule="auto"/>
      </w:pPr>
      <w:r>
        <w:t>La cobertura del nuevo código llegó a 85.3%, superando el mínimo exigido de 80.0%.</w:t>
      </w:r>
    </w:p>
    <w:p>
      <w:pPr>
        <w:pStyle w:val="ListBullet"/>
        <w:spacing w:after="80" w:line="264" w:lineRule="auto"/>
      </w:pPr>
      <w:r>
        <w:t>No se registraron issues nuevos, tampoco accepted issues, la duplicación se mantuvo en 0.0% y no hubo security hotspots pendientes.</w:t>
      </w:r>
    </w:p>
    <w:p>
      <w:pPr>
        <w:pStyle w:val="ListBullet"/>
        <w:spacing w:after="80" w:line="264" w:lineRule="auto"/>
      </w:pPr>
      <w:r>
        <w:t>El alcance funcional del sprint quedó bien representado en el programa mediante servicios, modelos y vistas específicas para cada módulo administrativo.</w:t>
      </w:r>
    </w:p>
    <w:p>
      <w:pPr>
        <w:pStyle w:val="ListBullet"/>
        <w:spacing w:after="80" w:line="264" w:lineRule="auto"/>
      </w:pPr>
      <w:r>
        <w:t>La persistencia por archivos JSON permitió integrar rápidamente los módulos sin depender de la configuración de una base de datos externa.</w:t>
      </w:r>
    </w:p>
    <w:p>
      <w:pPr>
        <w:pStyle w:val="ListBullet"/>
        <w:spacing w:after="80" w:line="264" w:lineRule="auto"/>
      </w:pPr>
      <w:r>
        <w:t>El repositorio cuenta con 41 pruebas automatizadas específicas del Sprint 3, lo que evidencia esfuerzo de validación sobre el incremento implementado.</w:t>
      </w:r>
    </w:p>
    <w:p>
      <w:pPr>
        <w:pStyle w:val="Heading1"/>
      </w:pPr>
      <w:r>
        <w:t>¿Qué no salió tan bien?</w:t>
      </w:r>
    </w:p>
    <w:p>
      <w:pPr>
        <w:pStyle w:val="ListBullet"/>
        <w:spacing w:after="80" w:line="264" w:lineRule="auto"/>
      </w:pPr>
      <w:r>
        <w:t>La estrategia de persistencia cambió respecto a lo planteado inicialmente en el sprint, pasando de una base de datos prevista a archivos JSON. Aunque fue útil para avanzar, esta decisión necesita quedar mejor documentada desde el inicio para evitar confusiones.</w:t>
      </w:r>
    </w:p>
    <w:p>
      <w:pPr>
        <w:pStyle w:val="ListBullet"/>
        <w:spacing w:after="80" w:line="264" w:lineRule="auto"/>
      </w:pPr>
      <w:r>
        <w:t>El uso de archivos JSON persistentes puede contaminar los escenarios de prueba cuando se reutilizan datos de ejecuciones anteriores. Esto introduce riesgo de resultados no repetibles si no se aíslan o reinician los archivos de datos.</w:t>
      </w:r>
    </w:p>
    <w:p>
      <w:pPr>
        <w:pStyle w:val="ListBullet"/>
        <w:spacing w:after="80" w:line="264" w:lineRule="auto"/>
      </w:pPr>
      <w:r>
        <w:t>La aprobación del quality gate no elimina por completo la necesidad de seguimiento: el panel todavía muestra una advertencia general sobre el último análisis, por lo que conviene revisar con cuidado cualquier observación residual.</w:t>
      </w:r>
    </w:p>
    <w:p>
      <w:pPr>
        <w:pStyle w:val="ListBullet"/>
        <w:spacing w:after="80" w:line="264" w:lineRule="auto"/>
      </w:pPr>
      <w:r>
        <w:t>Aunque el incremento es demostrable, la solución actual de persistencia es adecuada para un entorno local o académico, pero no para un escenario de escalabilidad real.</w:t>
      </w:r>
    </w:p>
    <w:p>
      <w:pPr>
        <w:pStyle w:val="Heading1"/>
      </w:pPr>
      <w:r>
        <w:t>Aprendizajes del Sprint 3</w:t>
      </w:r>
    </w:p>
    <w:p>
      <w:pPr>
        <w:pStyle w:val="ListBullet"/>
        <w:spacing w:after="80" w:line="264" w:lineRule="auto"/>
      </w:pPr>
      <w:r>
        <w:t>La calidad técnica mejora mucho cuando el equipo cierra el sprint con pruebas y análisis estático, en lugar de dejar esa validación para después.</w:t>
      </w:r>
    </w:p>
    <w:p>
      <w:pPr>
        <w:pStyle w:val="ListBullet"/>
        <w:spacing w:after="80" w:line="264" w:lineRule="auto"/>
      </w:pPr>
      <w:r>
        <w:t>Los cambios de arquitectura, incluso cuando simplifican el desarrollo, deben documentarse al mismo nivel que los cambios funcionales.</w:t>
      </w:r>
    </w:p>
    <w:p>
      <w:pPr>
        <w:pStyle w:val="ListBullet"/>
        <w:spacing w:after="80" w:line="264" w:lineRule="auto"/>
      </w:pPr>
      <w:r>
        <w:t>Separar modelos, servicios y vistas facilita extender el sistema sin mezclar responsabilidades.</w:t>
      </w:r>
    </w:p>
    <w:p>
      <w:pPr>
        <w:pStyle w:val="ListBullet"/>
        <w:spacing w:after="80" w:line="264" w:lineRule="auto"/>
      </w:pPr>
      <w:r>
        <w:t>La persistencia local con JSON es útil para acelerar entregas, pero exige disciplina adicional para preparar datos semilla y limpiar entornos de prueba.</w:t>
      </w:r>
    </w:p>
    <w:p>
      <w:pPr>
        <w:pStyle w:val="Heading2"/>
      </w:pPr>
      <w:r>
        <w:t>Acciones de mejora para el siguiente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Acción propuesta</w:t>
            </w:r>
          </w:p>
        </w:tc>
        <w:tc>
          <w:tcPr>
            <w:tcW w:type="dxa" w:w="549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Objetivo</w:t>
            </w:r>
          </w:p>
        </w:tc>
      </w:tr>
      <w:tr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Documentar formalmente la persistencia JSON en backlog, README y sustentación.</w:t>
            </w:r>
          </w:p>
        </w:tc>
        <w:tc>
          <w:tcPr>
            <w:tcW w:type="dxa" w:w="549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Evitar inconsistencias entre lo planeado y lo implementado.</w:t>
            </w:r>
          </w:p>
        </w:tc>
      </w:tr>
      <w:tr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Crear un mecanismo simple para reiniciar o sembrar los archivos de la carpeta data antes de ejecutar pruebas.</w:t>
            </w:r>
          </w:p>
        </w:tc>
        <w:tc>
          <w:tcPr>
            <w:tcW w:type="dxa" w:w="549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Mejorar la repetibilidad y reducir contaminación de datos.</w:t>
            </w:r>
          </w:p>
        </w:tc>
      </w:tr>
      <w:tr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Mantener el análisis de SonarQube como criterio de cierre técnico del sprint.</w:t>
            </w:r>
          </w:p>
        </w:tc>
        <w:tc>
          <w:tcPr>
            <w:tcW w:type="dxa" w:w="549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Conservar la mejora alcanzada en cobertura y calidad del nuevo código.</w:t>
            </w:r>
          </w:p>
        </w:tc>
      </w:tr>
      <w:tr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Revisar si la siguiente etapa requiere seguir con JSON o migrar a una capa de persistencia más robusta.</w:t>
            </w:r>
          </w:p>
        </w:tc>
        <w:tc>
          <w:tcPr>
            <w:tcW w:type="dxa" w:w="549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Tomar decisiones de arquitectura según el alcance real del proyecto.</w:t>
            </w:r>
          </w:p>
        </w:tc>
      </w:tr>
      <w:tr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Seguir integrando pruebas sobre reglas de negocio sensibles.</w:t>
            </w:r>
          </w:p>
        </w:tc>
        <w:tc>
          <w:tcPr>
            <w:tcW w:type="dxa" w:w="549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Proteger los módulos administrativos y evitar regresiones.</w:t>
            </w:r>
          </w:p>
        </w:tc>
      </w:tr>
    </w:tbl>
    <w:p>
      <w:pPr>
        <w:pStyle w:val="Heading1"/>
      </w:pPr>
      <w:r>
        <w:t>Cierre retrospectivo</w:t>
      </w:r>
    </w:p>
    <w:p>
      <w:pPr>
        <w:spacing w:after="160" w:line="276" w:lineRule="auto"/>
      </w:pPr>
      <w:r>
        <w:t>El Sprint 3 deja una impresión positiva: el equipo consiguió consolidar un incremento funcional importante y cerrar con una versión aprobada por SonarQube. La mejora técnica frente a la ejecución previa es evidente y el sistema ahora cubre mejor la operación interna del gimnasio.</w:t>
      </w:r>
    </w:p>
    <w:p>
      <w:pPr>
        <w:spacing w:after="160" w:line="276" w:lineRule="auto"/>
      </w:pPr>
      <w:r>
        <w:t>La mejora más importante hacia adelante no pasa por agregar más complejidad, sino por ordenar mejor la persistencia, aislar datos de prueba y dejar explícitas las decisiones técnicas desde el backlog hasta la documentación final. Ese ajuste ayudará a que el siguiente sprint sea más estable y más fácil de presentar.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FitZone - Informe de pruebas Sprint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