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F77B4"/>
          <w:sz w:val="22"/>
        </w:rPr>
        <w:t>FitZone</w:t>
      </w:r>
    </w:p>
    <w:p>
      <w:pPr>
        <w:pStyle w:val="Title"/>
        <w:jc w:val="left"/>
      </w:pPr>
      <w:r>
        <w:t>Sprint Review — Sprint 4</w:t>
      </w:r>
    </w:p>
    <w:p>
      <w:pPr>
        <w:pStyle w:val="Subtitle"/>
      </w:pPr>
      <w:r>
        <w:t>FitZone • Cierre del incremento de reportes, nomina y evaluacion del servicio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9746"/>
      </w:tblGrid>
      <w:tr>
        <w:tc>
          <w:tcPr>
            <w:tcW w:type="dxa" w:w="9746"/>
            <w:shd w:fill="EAF3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100"/>
            </w:pPr>
            <w:r>
              <w:rPr>
                <w:sz w:val="21"/>
              </w:rPr>
              <w:t>Sprint revisado a partir del alcance definido para RF23, RF26 y RF27.</w:t>
            </w:r>
          </w:p>
          <w:p>
            <w:pPr>
              <w:spacing w:after="100"/>
            </w:pPr>
            <w:r>
              <w:rPr>
                <w:sz w:val="21"/>
              </w:rPr>
              <w:t>La revision cruza el plan del sprint con el programa entregado, las pruebas automatizadas y la evidencia de SonarQube.</w:t>
            </w:r>
          </w:p>
          <w:p>
            <w:pPr>
              <w:spacing w:after="100"/>
            </w:pPr>
            <w:r>
              <w:rPr>
                <w:sz w:val="21"/>
              </w:rPr>
              <w:t>Resultado general: sprint aceptable con observaciones de calidad y visibilidad de interfaz.</w:t>
            </w:r>
          </w:p>
        </w:tc>
      </w:tr>
    </w:tbl>
    <w:p/>
    <w:p>
      <w:pPr>
        <w:pStyle w:val="Heading1"/>
      </w:pPr>
      <w:r>
        <w:t>1. Objetivo del sprint</w:t>
      </w:r>
    </w:p>
    <w:p>
      <w:pPr>
        <w:spacing w:after="120"/>
      </w:pPr>
      <w:r>
        <w:rPr>
          <w:color w:val="232933"/>
        </w:rPr>
        <w:t>El Sprint 4 tuvo como objetivo cerrar las funciones directivas del sistema: generacion de reportes administrativos, administracion del pago de empleados y evaluacion del servicio mediante encuestas de satisfaccion. Este alcance corresponde a los requisitos RF23, RF26 y RF27.</w:t>
      </w:r>
    </w:p>
    <w:p>
      <w:pPr>
        <w:pStyle w:val="Heading1"/>
      </w:pPr>
      <w:r>
        <w:t>2. Backlog comprometido y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Item comprometido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Evidencia en el programa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Estado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RF23 Generar reportes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src/services/report_service.py y pruebas de estructura/exportacion JSON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Cumplido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RF26 Administrar pago de empleado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src/services/payroll_service.py y 14 pruebas automatizadas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Cumplido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RF27 Evaluacion del servicio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src/services/survey_service.py y 12 pruebas automatizadas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Cumplido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Calidad tecnica del incremento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coverage.xml, sonar-project.properties y tablero SonarQube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Cumplido con observaciones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Interfaz dedicada de Sprint 4</w:t>
            </w:r>
          </w:p>
        </w:tc>
        <w:tc>
          <w:tcPr>
            <w:tcW w:type="dxa" w:w="4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se localizaron vistas especificas de reportes/nomina/encuestas en el paquete revisado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Parcial / no evidenciado</w:t>
            </w:r>
          </w:p>
        </w:tc>
      </w:tr>
    </w:tbl>
    <w:p/>
    <w:p>
      <w:pPr>
        <w:pStyle w:val="Heading1"/>
      </w:pPr>
      <w:r>
        <w:t>3. Incremento demostrado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1. Se liquida la nomina de empleados con base en horas trabajadas, salario base, tipo de contrato y descuento.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2. El pago de nomina puede confirmarse y posteriormente consultarse por empleado o por periodo.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3. Las encuestas permiten registrar calificaciones de entrenador e instalaciones, calcular promedios y conservar sugerencias.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4. Los reportes administrativos consolidan clientes, membresias, contabilidad, actividad general, nomina y satisfaccion.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5. Los datos generados pueden exportarse a archivos JSON para su uso posterior en la interfaz o en evidencia administrativa.</w:t>
      </w:r>
    </w:p>
    <w:p>
      <w:pPr>
        <w:pStyle w:val="Heading1"/>
      </w:pPr>
      <w:r>
        <w:t>4. Aporte por responsable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Responsable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Compromiso del sprint</w:t>
            </w:r>
          </w:p>
        </w:tc>
        <w:tc>
          <w:tcPr>
            <w:tcW w:type="dxa" w:w="4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4"/>
          </w:tcPr>
          <w:p>
            <w:pPr>
              <w:jc w:val="center"/>
            </w:pPr>
            <w:r>
              <w:rPr>
                <w:b/>
                <w:color w:val="232933"/>
                <w:sz w:val="20"/>
              </w:rPr>
              <w:t>Evidencia observada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Andres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 y logica de negocio</w:t>
            </w:r>
          </w:p>
        </w:tc>
        <w:tc>
          <w:tcPr>
            <w:tcW w:type="dxa" w:w="4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Servicios de reportes, nomina y encuestas implementados y probados.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Romel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Calidad, validaciones y pruebas</w:t>
            </w:r>
          </w:p>
        </w:tc>
        <w:tc>
          <w:tcPr>
            <w:tcW w:type="dxa" w:w="4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Casos automatizados del sprint, coverage.xml y evidencia de SonarQube.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Alex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Interfaz visual e integracion</w:t>
            </w:r>
          </w:p>
        </w:tc>
        <w:tc>
          <w:tcPr>
            <w:tcW w:type="dxa" w:w="4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se observaron en el paquete vistas nuevas dedicadas al alcance del Sprint 4.</w:t>
            </w:r>
          </w:p>
        </w:tc>
      </w:tr>
    </w:tbl>
    <w:p/>
    <w:p>
      <w:pPr>
        <w:pStyle w:val="Heading1"/>
      </w:pPr>
      <w:r>
        <w:t>5. Metricas de revision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73"/>
        <w:gridCol w:w="4873"/>
      </w:tblGrid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Casos de prueba del Sprint 4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35 aprobados de 35 ejecutados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Suite completa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103 aprobados de 104 ejecutados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Cobertura reportada en SonarQube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88.6%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Issues nuevos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Duplicacion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b/>
                <w:color w:val="232933"/>
              </w:rPr>
              <w:t>Security hotspots</w:t>
            </w:r>
          </w:p>
        </w:tc>
        <w:tc>
          <w:tcPr>
            <w:tcW w:type="dxa" w:w="5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/>
    <w:p>
      <w:pPr>
        <w:pStyle w:val="Heading1"/>
      </w:pPr>
      <w:r>
        <w:t>6. Lo que se acepta en la review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La logica central del Sprint 4 se considera implementada y estable.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La persistencia en JSON quedo alineada con la decision tecnica actual del proyecto.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El reporte de calidad es suficiente para soportar la continuidad hacia Sprint 5.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La base de pruebas del sprint es consistente y cubre escenarios positivos, negativos y de integracion.</w:t>
      </w:r>
    </w:p>
    <w:p>
      <w:pPr>
        <w:pStyle w:val="Heading1"/>
      </w:pPr>
      <w:r>
        <w:t>7. Observaciones abiertas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Existe un hallazgo fuera del alcance directo del sprint en el modulo de autenticacion: el test_create_user no es aislado respecto al archivo users.json.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La review no encontro evidencia clara de pantallas de reportes, nomina o encuestas en la capa UI, por lo que la demostracion del sprint queda mas fuerte en backend que en interfaz.</w:t>
      </w:r>
    </w:p>
    <w:p>
      <w:pPr>
        <w:spacing w:after="80"/>
        <w:ind w:left="340" w:hanging="227"/>
      </w:pPr>
      <w:r>
        <w:rPr>
          <w:rFonts w:ascii="Aptos" w:hAnsi="Aptos"/>
          <w:sz w:val="21"/>
        </w:rPr>
        <w:t>• Se recomienda incluir capturas, flujo funcional o vistas finales en el cierre tecnico para fortalecer la sustentacion.</w:t>
      </w:r>
    </w:p>
    <w:p>
      <w:pPr>
        <w:pStyle w:val="Heading1"/>
      </w:pPr>
      <w:r>
        <w:t>8. Decision de la Sprint Review</w:t>
      </w:r>
    </w:p>
    <w:p>
      <w:pPr>
        <w:spacing w:after="120"/>
      </w:pPr>
      <w:r>
        <w:rPr>
          <w:color w:val="232933"/>
        </w:rPr>
        <w:t>El Sprint 4 se da por aceptado con observaciones. El incremento comprometido esta disponible y validado en la capa de servicios, pruebas y calidad; sin embargo, el equipo debe atender en el siguiente sprint la evidencia de interfaz y el aislamiento total de pruebas para presentar un cierre tecnico mas robusto.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F7A"/>
        <w:sz w:val="16"/>
      </w:rPr>
      <w:t>FitZone • Proyecto académico • Sprint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F7A"/>
        <w:sz w:val="16"/>
      </w:rPr>
      <w:t>Sprint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3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35A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666F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