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Process Excellence Toolkit</w:t>
      </w:r>
    </w:p>
    <w:p>
      <w:pPr>
        <w:jc w:val="center"/>
      </w:pPr>
      <w:r>
        <w:t>Integrated Python Portfolio: Capability | PFMEA | OEE | Gauge R&amp;R | SPC | Process Improvement</w:t>
      </w:r>
    </w:p>
    <w:p>
      <w:r>
        <w:rPr>
          <w:b/>
        </w:rPr>
        <w:t xml:space="preserve">PUBLIC PORTFOLIO DISCLAIMER — </w:t>
      </w:r>
      <w:r>
        <w:t>This portfolio uses synthetic educational datasets and generalized manufacturing case studies solely to demonstrate engineering, statistical analysis, and problem-solving methods. It contains no proprietary production records, confidential specifications, internal documents, or company-specific manufacturing data.</w:t>
      </w:r>
    </w:p>
    <w:p>
      <w:pPr>
        <w:pStyle w:val="Heading1"/>
      </w:pPr>
      <w:r>
        <w:t>1. Executive Summary</w:t>
      </w:r>
    </w:p>
    <w:p>
      <w:r>
        <w:t>This report demonstrates an integrated manufacturing-engineering workflow. Capability evaluates output variation; PFMEA prioritizes preventive action; OEE quantifies production losses; Gauge R&amp;R evaluates measurement adequacy; process-data tools expose instability and dominant losses; generalized case studies show how these methods support hands-on line ownership and technical problem solving.</w:t>
      </w:r>
    </w:p>
    <w:p>
      <w:pPr>
        <w:pStyle w:val="Heading1"/>
      </w:pPr>
      <w:r>
        <w:t>2. Process Capability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Samples</w:t>
            </w:r>
          </w:p>
        </w:tc>
        <w:tc>
          <w:tcPr>
            <w:tcW w:type="dxa" w:w="4968"/>
          </w:tcPr>
          <w:p>
            <w:r>
              <w:t>100</w:t>
            </w:r>
          </w:p>
        </w:tc>
      </w:tr>
      <w:tr>
        <w:tc>
          <w:tcPr>
            <w:tcW w:type="dxa" w:w="4968"/>
          </w:tcPr>
          <w:p>
            <w:r>
              <w:t>Mean</w:t>
            </w:r>
          </w:p>
        </w:tc>
        <w:tc>
          <w:tcPr>
            <w:tcW w:type="dxa" w:w="4968"/>
          </w:tcPr>
          <w:p>
            <w:r>
              <w:t>3.500000 mm</w:t>
            </w:r>
          </w:p>
        </w:tc>
      </w:tr>
      <w:tr>
        <w:tc>
          <w:tcPr>
            <w:tcW w:type="dxa" w:w="4968"/>
          </w:tcPr>
          <w:p>
            <w:r>
              <w:t>Sample standard deviation</w:t>
            </w:r>
          </w:p>
        </w:tc>
        <w:tc>
          <w:tcPr>
            <w:tcW w:type="dxa" w:w="4968"/>
          </w:tcPr>
          <w:p>
            <w:r>
              <w:t>0.196000 mm</w:t>
            </w:r>
          </w:p>
        </w:tc>
      </w:tr>
      <w:tr>
        <w:tc>
          <w:tcPr>
            <w:tcW w:type="dxa" w:w="4968"/>
          </w:tcPr>
          <w:p>
            <w:r>
              <w:t>Cp / Cpk</w:t>
            </w:r>
          </w:p>
        </w:tc>
        <w:tc>
          <w:tcPr>
            <w:tcW w:type="dxa" w:w="4968"/>
          </w:tcPr>
          <w:p>
            <w:r>
              <w:t>0.850 / 0.850</w:t>
            </w:r>
          </w:p>
        </w:tc>
      </w:tr>
      <w:tr>
        <w:tc>
          <w:tcPr>
            <w:tcW w:type="dxa" w:w="4968"/>
          </w:tcPr>
          <w:p>
            <w:r>
              <w:t>Observed nonconformance</w:t>
            </w:r>
          </w:p>
        </w:tc>
        <w:tc>
          <w:tcPr>
            <w:tcW w:type="dxa" w:w="4968"/>
          </w:tcPr>
          <w:p>
            <w:r>
              <w:t>1 (10,000 ppm)</w:t>
            </w:r>
          </w:p>
        </w:tc>
      </w:tr>
      <w:tr>
        <w:tc>
          <w:tcPr>
            <w:tcW w:type="dxa" w:w="4968"/>
          </w:tcPr>
          <w:p>
            <w:r>
              <w:t>Interpretation</w:t>
            </w:r>
          </w:p>
        </w:tc>
        <w:tc>
          <w:tcPr>
            <w:tcW w:type="dxa" w:w="4968"/>
          </w:tcPr>
          <w:p>
            <w:r>
              <w:t>Not capable</w:t>
            </w:r>
          </w:p>
        </w:tc>
      </w:tr>
    </w:tbl>
    <w:p>
      <w:pPr>
        <w:pStyle w:val="Heading1"/>
      </w:pPr>
      <w:r>
        <w:t>3. PFMEA Risk Review</w:t>
      </w:r>
    </w:p>
    <w:p>
      <w:r>
        <w:t>RPN is calculated as Severity x Occurrence x Detection. Portfolio priority is a transparent educational triage and is not the proprietary AIAG-VDA Action Priority table.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Process step</w:t>
            </w:r>
          </w:p>
        </w:tc>
        <w:tc>
          <w:tcPr>
            <w:tcW w:type="dxa" w:w="2484"/>
          </w:tcPr>
          <w:p>
            <w:r>
              <w:t>Failure mode</w:t>
            </w:r>
          </w:p>
        </w:tc>
        <w:tc>
          <w:tcPr>
            <w:tcW w:type="dxa" w:w="2484"/>
          </w:tcPr>
          <w:p>
            <w:r>
              <w:t>RPN</w:t>
            </w:r>
          </w:p>
        </w:tc>
        <w:tc>
          <w:tcPr>
            <w:tcW w:type="dxa" w:w="2484"/>
          </w:tcPr>
          <w:p>
            <w:r>
              <w:t>Revised RPN</w:t>
            </w:r>
          </w:p>
        </w:tc>
      </w:tr>
      <w:tr>
        <w:tc>
          <w:tcPr>
            <w:tcW w:type="dxa" w:w="2484"/>
          </w:tcPr>
          <w:p>
            <w:r>
              <w:t>Fixture locate</w:t>
            </w:r>
          </w:p>
        </w:tc>
        <w:tc>
          <w:tcPr>
            <w:tcW w:type="dxa" w:w="2484"/>
          </w:tcPr>
          <w:p>
            <w:r>
              <w:t>Panel located incorrectly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48</w:t>
            </w:r>
          </w:p>
        </w:tc>
      </w:tr>
      <w:tr>
        <w:tc>
          <w:tcPr>
            <w:tcW w:type="dxa" w:w="2484"/>
          </w:tcPr>
          <w:p>
            <w:r>
              <w:t>Gap measurement</w:t>
            </w:r>
          </w:p>
        </w:tc>
        <w:tc>
          <w:tcPr>
            <w:tcW w:type="dxa" w:w="2484"/>
          </w:tcPr>
          <w:p>
            <w:r>
              <w:t>Incorrect measurement</w:t>
            </w:r>
          </w:p>
        </w:tc>
        <w:tc>
          <w:tcPr>
            <w:tcW w:type="dxa" w:w="2484"/>
          </w:tcPr>
          <w:p>
            <w:r>
              <w:t>180</w:t>
            </w:r>
          </w:p>
        </w:tc>
        <w:tc>
          <w:tcPr>
            <w:tcW w:type="dxa" w:w="2484"/>
          </w:tcPr>
          <w:p>
            <w:r>
              <w:t>36</w:t>
            </w:r>
          </w:p>
        </w:tc>
      </w:tr>
      <w:tr>
        <w:tc>
          <w:tcPr>
            <w:tcW w:type="dxa" w:w="2484"/>
          </w:tcPr>
          <w:p>
            <w:r>
              <w:t>Final verification</w:t>
            </w:r>
          </w:p>
        </w:tc>
        <w:tc>
          <w:tcPr>
            <w:tcW w:type="dxa" w:w="2484"/>
          </w:tcPr>
          <w:p>
            <w:r>
              <w:t>Defect not detected</w:t>
            </w:r>
          </w:p>
        </w:tc>
        <w:tc>
          <w:tcPr>
            <w:tcW w:type="dxa" w:w="2484"/>
          </w:tcPr>
          <w:p>
            <w:r>
              <w:t>168</w:t>
            </w:r>
          </w:p>
        </w:tc>
        <w:tc>
          <w:tcPr>
            <w:tcW w:type="dxa" w:w="2484"/>
          </w:tcPr>
          <w:p>
            <w:r>
              <w:t>42</w:t>
            </w:r>
          </w:p>
        </w:tc>
      </w:tr>
      <w:tr>
        <w:tc>
          <w:tcPr>
            <w:tcW w:type="dxa" w:w="2484"/>
          </w:tcPr>
          <w:p>
            <w:r>
              <w:t>Fastener torque</w:t>
            </w:r>
          </w:p>
        </w:tc>
        <w:tc>
          <w:tcPr>
            <w:tcW w:type="dxa" w:w="2484"/>
          </w:tcPr>
          <w:p>
            <w:r>
              <w:t>Joint under-torqued</w:t>
            </w:r>
          </w:p>
        </w:tc>
        <w:tc>
          <w:tcPr>
            <w:tcW w:type="dxa" w:w="2484"/>
          </w:tcPr>
          <w:p>
            <w:r>
              <w:t>72</w:t>
            </w:r>
          </w:p>
        </w:tc>
        <w:tc>
          <w:tcPr>
            <w:tcW w:type="dxa" w:w="2484"/>
          </w:tcPr>
          <w:p>
            <w:r>
              <w:t>32</w:t>
            </w:r>
          </w:p>
        </w:tc>
      </w:tr>
      <w:tr>
        <w:tc>
          <w:tcPr>
            <w:tcW w:type="dxa" w:w="2484"/>
          </w:tcPr>
          <w:p>
            <w:r>
              <w:t>Material presentation</w:t>
            </w:r>
          </w:p>
        </w:tc>
        <w:tc>
          <w:tcPr>
            <w:tcW w:type="dxa" w:w="2484"/>
          </w:tcPr>
          <w:p>
            <w:r>
              <w:t>Wrong component variant</w:t>
            </w:r>
          </w:p>
        </w:tc>
        <w:tc>
          <w:tcPr>
            <w:tcW w:type="dxa" w:w="2484"/>
          </w:tcPr>
          <w:p>
            <w:r>
              <w:t>42</w:t>
            </w:r>
          </w:p>
        </w:tc>
        <w:tc>
          <w:tcPr>
            <w:tcW w:type="dxa" w:w="2484"/>
          </w:tcPr>
          <w:p>
            <w:r>
              <w:t>14</w:t>
            </w:r>
          </w:p>
        </w:tc>
      </w:tr>
    </w:tbl>
    <w:p>
      <w:pPr>
        <w:pStyle w:val="Heading1"/>
      </w:pPr>
      <w:r>
        <w:t>4. OEE Trend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Date</w:t>
            </w:r>
          </w:p>
        </w:tc>
        <w:tc>
          <w:tcPr>
            <w:tcW w:type="dxa" w:w="1987"/>
          </w:tcPr>
          <w:p>
            <w:r>
              <w:t>Availability</w:t>
            </w:r>
          </w:p>
        </w:tc>
        <w:tc>
          <w:tcPr>
            <w:tcW w:type="dxa" w:w="1987"/>
          </w:tcPr>
          <w:p>
            <w:r>
              <w:t>Performance</w:t>
            </w:r>
          </w:p>
        </w:tc>
        <w:tc>
          <w:tcPr>
            <w:tcW w:type="dxa" w:w="1987"/>
          </w:tcPr>
          <w:p>
            <w:r>
              <w:t>Quality</w:t>
            </w:r>
          </w:p>
        </w:tc>
        <w:tc>
          <w:tcPr>
            <w:tcW w:type="dxa" w:w="1987"/>
          </w:tcPr>
          <w:p>
            <w:r>
              <w:t>OEE</w:t>
            </w:r>
          </w:p>
        </w:tc>
      </w:tr>
      <w:tr>
        <w:tc>
          <w:tcPr>
            <w:tcW w:type="dxa" w:w="1987"/>
          </w:tcPr>
          <w:p>
            <w:r>
              <w:t>2026-07-01</w:t>
            </w:r>
          </w:p>
        </w:tc>
        <w:tc>
          <w:tcPr>
            <w:tcW w:type="dxa" w:w="1987"/>
          </w:tcPr>
          <w:p>
            <w:r>
              <w:t>87.9%</w:t>
            </w:r>
          </w:p>
        </w:tc>
        <w:tc>
          <w:tcPr>
            <w:tcW w:type="dxa" w:w="1987"/>
          </w:tcPr>
          <w:p>
            <w:r>
              <w:t>91.0%</w:t>
            </w:r>
          </w:p>
        </w:tc>
        <w:tc>
          <w:tcPr>
            <w:tcW w:type="dxa" w:w="1987"/>
          </w:tcPr>
          <w:p>
            <w:r>
              <w:t>95.3%</w:t>
            </w:r>
          </w:p>
        </w:tc>
        <w:tc>
          <w:tcPr>
            <w:tcW w:type="dxa" w:w="1987"/>
          </w:tcPr>
          <w:p>
            <w:r>
              <w:t>76.2%</w:t>
            </w:r>
          </w:p>
        </w:tc>
      </w:tr>
      <w:tr>
        <w:tc>
          <w:tcPr>
            <w:tcW w:type="dxa" w:w="1987"/>
          </w:tcPr>
          <w:p>
            <w:r>
              <w:t>2026-07-02</w:t>
            </w:r>
          </w:p>
        </w:tc>
        <w:tc>
          <w:tcPr>
            <w:tcW w:type="dxa" w:w="1987"/>
          </w:tcPr>
          <w:p>
            <w:r>
              <w:t>90.6%</w:t>
            </w:r>
          </w:p>
        </w:tc>
        <w:tc>
          <w:tcPr>
            <w:tcW w:type="dxa" w:w="1987"/>
          </w:tcPr>
          <w:p>
            <w:r>
              <w:t>92.4%</w:t>
            </w:r>
          </w:p>
        </w:tc>
        <w:tc>
          <w:tcPr>
            <w:tcW w:type="dxa" w:w="1987"/>
          </w:tcPr>
          <w:p>
            <w:r>
              <w:t>96.7%</w:t>
            </w:r>
          </w:p>
        </w:tc>
        <w:tc>
          <w:tcPr>
            <w:tcW w:type="dxa" w:w="1987"/>
          </w:tcPr>
          <w:p>
            <w:r>
              <w:t>81.0%</w:t>
            </w:r>
          </w:p>
        </w:tc>
      </w:tr>
      <w:tr>
        <w:tc>
          <w:tcPr>
            <w:tcW w:type="dxa" w:w="1987"/>
          </w:tcPr>
          <w:p>
            <w:r>
              <w:t>2026-07-03</w:t>
            </w:r>
          </w:p>
        </w:tc>
        <w:tc>
          <w:tcPr>
            <w:tcW w:type="dxa" w:w="1987"/>
          </w:tcPr>
          <w:p>
            <w:r>
              <w:t>91.9%</w:t>
            </w:r>
          </w:p>
        </w:tc>
        <w:tc>
          <w:tcPr>
            <w:tcW w:type="dxa" w:w="1987"/>
          </w:tcPr>
          <w:p>
            <w:r>
              <w:t>93.6%</w:t>
            </w:r>
          </w:p>
        </w:tc>
        <w:tc>
          <w:tcPr>
            <w:tcW w:type="dxa" w:w="1987"/>
          </w:tcPr>
          <w:p>
            <w:r>
              <w:t>98.0%</w:t>
            </w:r>
          </w:p>
        </w:tc>
        <w:tc>
          <w:tcPr>
            <w:tcW w:type="dxa" w:w="1987"/>
          </w:tcPr>
          <w:p>
            <w:r>
              <w:t>84.2%</w:t>
            </w:r>
          </w:p>
        </w:tc>
      </w:tr>
      <w:tr>
        <w:tc>
          <w:tcPr>
            <w:tcW w:type="dxa" w:w="1987"/>
          </w:tcPr>
          <w:p>
            <w:r>
              <w:t>2026-07-04</w:t>
            </w:r>
          </w:p>
        </w:tc>
        <w:tc>
          <w:tcPr>
            <w:tcW w:type="dxa" w:w="1987"/>
          </w:tcPr>
          <w:p>
            <w:r>
              <w:t>93.5%</w:t>
            </w:r>
          </w:p>
        </w:tc>
        <w:tc>
          <w:tcPr>
            <w:tcW w:type="dxa" w:w="1987"/>
          </w:tcPr>
          <w:p>
            <w:r>
              <w:t>94.3%</w:t>
            </w:r>
          </w:p>
        </w:tc>
        <w:tc>
          <w:tcPr>
            <w:tcW w:type="dxa" w:w="1987"/>
          </w:tcPr>
          <w:p>
            <w:r>
              <w:t>98.6%</w:t>
            </w:r>
          </w:p>
        </w:tc>
        <w:tc>
          <w:tcPr>
            <w:tcW w:type="dxa" w:w="1987"/>
          </w:tcPr>
          <w:p>
            <w:r>
              <w:t>87.0%</w:t>
            </w:r>
          </w:p>
        </w:tc>
      </w:tr>
      <w:tr>
        <w:tc>
          <w:tcPr>
            <w:tcW w:type="dxa" w:w="1987"/>
          </w:tcPr>
          <w:p>
            <w:r>
              <w:t>2026-07-05</w:t>
            </w:r>
          </w:p>
        </w:tc>
        <w:tc>
          <w:tcPr>
            <w:tcW w:type="dxa" w:w="1987"/>
          </w:tcPr>
          <w:p>
            <w:r>
              <w:t>94.6%</w:t>
            </w:r>
          </w:p>
        </w:tc>
        <w:tc>
          <w:tcPr>
            <w:tcW w:type="dxa" w:w="1987"/>
          </w:tcPr>
          <w:p>
            <w:r>
              <w:t>95.2%</w:t>
            </w:r>
          </w:p>
        </w:tc>
        <w:tc>
          <w:tcPr>
            <w:tcW w:type="dxa" w:w="1987"/>
          </w:tcPr>
          <w:p>
            <w:r>
              <w:t>98.9%</w:t>
            </w:r>
          </w:p>
        </w:tc>
        <w:tc>
          <w:tcPr>
            <w:tcW w:type="dxa" w:w="1987"/>
          </w:tcPr>
          <w:p>
            <w:r>
              <w:t>89.0%</w:t>
            </w:r>
          </w:p>
        </w:tc>
      </w:tr>
    </w:tbl>
    <w:p>
      <w:pPr>
        <w:pStyle w:val="Heading1"/>
      </w:pPr>
      <w:r>
        <w:t>5. Gauge R&amp;R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Study design</w:t>
            </w:r>
          </w:p>
        </w:tc>
        <w:tc>
          <w:tcPr>
            <w:tcW w:type="dxa" w:w="4968"/>
          </w:tcPr>
          <w:p>
            <w:r>
              <w:t>10 parts x 3 operators x 3 trials</w:t>
            </w:r>
          </w:p>
        </w:tc>
      </w:tr>
      <w:tr>
        <w:tc>
          <w:tcPr>
            <w:tcW w:type="dxa" w:w="4968"/>
          </w:tcPr>
          <w:p>
            <w:r>
              <w:t>Total Gauge R&amp;R (% study variation)</w:t>
            </w:r>
          </w:p>
        </w:tc>
        <w:tc>
          <w:tcPr>
            <w:tcW w:type="dxa" w:w="4968"/>
          </w:tcPr>
          <w:p>
            <w:r>
              <w:t>4.67%</w:t>
            </w:r>
          </w:p>
        </w:tc>
      </w:tr>
      <w:tr>
        <w:tc>
          <w:tcPr>
            <w:tcW w:type="dxa" w:w="4968"/>
          </w:tcPr>
          <w:p>
            <w:r>
              <w:t>Repeatability</w:t>
            </w:r>
          </w:p>
        </w:tc>
        <w:tc>
          <w:tcPr>
            <w:tcW w:type="dxa" w:w="4968"/>
          </w:tcPr>
          <w:p>
            <w:r>
              <w:t>3.54%</w:t>
            </w:r>
          </w:p>
        </w:tc>
      </w:tr>
      <w:tr>
        <w:tc>
          <w:tcPr>
            <w:tcW w:type="dxa" w:w="4968"/>
          </w:tcPr>
          <w:p>
            <w:r>
              <w:t>Reproducibility</w:t>
            </w:r>
          </w:p>
        </w:tc>
        <w:tc>
          <w:tcPr>
            <w:tcW w:type="dxa" w:w="4968"/>
          </w:tcPr>
          <w:p>
            <w:r>
              <w:t>3.04%</w:t>
            </w:r>
          </w:p>
        </w:tc>
      </w:tr>
      <w:tr>
        <w:tc>
          <w:tcPr>
            <w:tcW w:type="dxa" w:w="4968"/>
          </w:tcPr>
          <w:p>
            <w:r>
              <w:t>Number of distinct categories</w:t>
            </w:r>
          </w:p>
        </w:tc>
        <w:tc>
          <w:tcPr>
            <w:tcW w:type="dxa" w:w="4968"/>
          </w:tcPr>
          <w:p>
            <w:r>
              <w:t>30</w:t>
            </w:r>
          </w:p>
        </w:tc>
      </w:tr>
      <w:tr>
        <w:tc>
          <w:tcPr>
            <w:tcW w:type="dxa" w:w="4968"/>
          </w:tcPr>
          <w:p>
            <w:r>
              <w:t>Interpretation</w:t>
            </w:r>
          </w:p>
        </w:tc>
        <w:tc>
          <w:tcPr>
            <w:tcW w:type="dxa" w:w="4968"/>
          </w:tcPr>
          <w:p>
            <w:r>
              <w:t>Generally acceptable</w:t>
            </w:r>
          </w:p>
        </w:tc>
      </w:tr>
    </w:tbl>
    <w:p>
      <w:pPr>
        <w:pStyle w:val="Heading1"/>
      </w:pPr>
      <w:r>
        <w:t>6. Process Data and Pareto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Defect category</w:t>
            </w:r>
          </w:p>
        </w:tc>
        <w:tc>
          <w:tcPr>
            <w:tcW w:type="dxa" w:w="2484"/>
          </w:tcPr>
          <w:p>
            <w:r>
              <w:t>Count</w:t>
            </w:r>
          </w:p>
        </w:tc>
        <w:tc>
          <w:tcPr>
            <w:tcW w:type="dxa" w:w="2484"/>
          </w:tcPr>
          <w:p>
            <w:r>
              <w:t>Percent</w:t>
            </w:r>
          </w:p>
        </w:tc>
        <w:tc>
          <w:tcPr>
            <w:tcW w:type="dxa" w:w="2484"/>
          </w:tcPr>
          <w:p>
            <w:r>
              <w:t>Cumulative</w:t>
            </w:r>
          </w:p>
        </w:tc>
      </w:tr>
      <w:tr>
        <w:tc>
          <w:tcPr>
            <w:tcW w:type="dxa" w:w="2484"/>
          </w:tcPr>
          <w:p>
            <w:r>
              <w:t>Gap/flush</w:t>
            </w:r>
          </w:p>
        </w:tc>
        <w:tc>
          <w:tcPr>
            <w:tcW w:type="dxa" w:w="2484"/>
          </w:tcPr>
          <w:p>
            <w:r>
              <w:t>42</w:t>
            </w:r>
          </w:p>
        </w:tc>
        <w:tc>
          <w:tcPr>
            <w:tcW w:type="dxa" w:w="2484"/>
          </w:tcPr>
          <w:p>
            <w:r>
              <w:t>42.0%</w:t>
            </w:r>
          </w:p>
        </w:tc>
        <w:tc>
          <w:tcPr>
            <w:tcW w:type="dxa" w:w="2484"/>
          </w:tcPr>
          <w:p>
            <w:r>
              <w:t>42.0%</w:t>
            </w:r>
          </w:p>
        </w:tc>
      </w:tr>
      <w:tr>
        <w:tc>
          <w:tcPr>
            <w:tcW w:type="dxa" w:w="2484"/>
          </w:tcPr>
          <w:p>
            <w:r>
              <w:t>Surface appearance</w:t>
            </w:r>
          </w:p>
        </w:tc>
        <w:tc>
          <w:tcPr>
            <w:tcW w:type="dxa" w:w="2484"/>
          </w:tcPr>
          <w:p>
            <w:r>
              <w:t>27</w:t>
            </w:r>
          </w:p>
        </w:tc>
        <w:tc>
          <w:tcPr>
            <w:tcW w:type="dxa" w:w="2484"/>
          </w:tcPr>
          <w:p>
            <w:r>
              <w:t>27.0%</w:t>
            </w:r>
          </w:p>
        </w:tc>
        <w:tc>
          <w:tcPr>
            <w:tcW w:type="dxa" w:w="2484"/>
          </w:tcPr>
          <w:p>
            <w:r>
              <w:t>69.0%</w:t>
            </w:r>
          </w:p>
        </w:tc>
      </w:tr>
      <w:tr>
        <w:tc>
          <w:tcPr>
            <w:tcW w:type="dxa" w:w="2484"/>
          </w:tcPr>
          <w:p>
            <w:r>
              <w:t>Fastener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16.0%</w:t>
            </w:r>
          </w:p>
        </w:tc>
        <w:tc>
          <w:tcPr>
            <w:tcW w:type="dxa" w:w="2484"/>
          </w:tcPr>
          <w:p>
            <w:r>
              <w:t>85.0%</w:t>
            </w:r>
          </w:p>
        </w:tc>
      </w:tr>
      <w:tr>
        <w:tc>
          <w:tcPr>
            <w:tcW w:type="dxa" w:w="2484"/>
          </w:tcPr>
          <w:p>
            <w:r>
              <w:t>Electrical check</w:t>
            </w:r>
          </w:p>
        </w:tc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9.0%</w:t>
            </w:r>
          </w:p>
        </w:tc>
        <w:tc>
          <w:tcPr>
            <w:tcW w:type="dxa" w:w="2484"/>
          </w:tcPr>
          <w:p>
            <w:r>
              <w:t>94.0%</w:t>
            </w:r>
          </w:p>
        </w:tc>
      </w:tr>
      <w:tr>
        <w:tc>
          <w:tcPr>
            <w:tcW w:type="dxa" w:w="2484"/>
          </w:tcPr>
          <w:p>
            <w:r>
              <w:t>Material mismatch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6.0%</w:t>
            </w:r>
          </w:p>
        </w:tc>
        <w:tc>
          <w:tcPr>
            <w:tcW w:type="dxa" w:w="2484"/>
          </w:tcPr>
          <w:p>
            <w:r>
              <w:t>100.0%</w:t>
            </w:r>
          </w:p>
        </w:tc>
      </w:tr>
    </w:tbl>
    <w:p>
      <w:pPr>
        <w:pStyle w:val="Heading1"/>
      </w:pPr>
      <w:r>
        <w:t>7. Hands-On Engineering and Problem Solving</w:t>
      </w:r>
    </w:p>
    <w:p>
      <w:pPr>
        <w:pStyle w:val="ListBullet"/>
      </w:pPr>
      <w:r>
        <w:rPr>
          <w:b/>
        </w:rPr>
        <w:t xml:space="preserve">Process launch: </w:t>
      </w:r>
      <w:r>
        <w:t>Converted an uncontrolled repair need into defined work content, tooling, measurement, standardized work, training, and production controls.</w:t>
      </w:r>
    </w:p>
    <w:p>
      <w:pPr>
        <w:pStyle w:val="ListBullet"/>
      </w:pPr>
      <w:r>
        <w:rPr>
          <w:b/>
        </w:rPr>
        <w:t xml:space="preserve">Line redesign: </w:t>
      </w:r>
      <w:r>
        <w:t>Used line observation, cycle-time analysis, task precedence, work balancing, layout, controls, and ramp support to improve flow and expose bottlenecks.</w:t>
      </w:r>
    </w:p>
    <w:p>
      <w:pPr>
        <w:pStyle w:val="ListBullet"/>
      </w:pPr>
      <w:r>
        <w:rPr>
          <w:b/>
        </w:rPr>
        <w:t xml:space="preserve">Vision commissioning: </w:t>
      </w:r>
      <w:r>
        <w:t>Supported installation, recipe development, correlation, false-call reduction, reaction plans, and ongoing verification with an equipment supplier.</w:t>
      </w:r>
    </w:p>
    <w:p>
      <w:pPr>
        <w:pStyle w:val="ListBullet"/>
      </w:pPr>
      <w:r>
        <w:rPr>
          <w:b/>
        </w:rPr>
        <w:t xml:space="preserve">Variation reduction: </w:t>
      </w:r>
      <w:r>
        <w:t>Connected MSA, time-ordered SPC, fixture inspection, standardized method, tolerance review, corrective action, and independent capability validation.</w:t>
      </w:r>
    </w:p>
    <w:p>
      <w:pPr>
        <w:pStyle w:val="Heading1"/>
      </w:pPr>
      <w:r>
        <w:t>8. Professional Use and Limitations</w:t>
      </w:r>
    </w:p>
    <w:p>
      <w:r>
        <w:t>Results are educational demonstrations. Production decisions require approved specifications, rational sampling, stable-process evidence, validated measurement systems, customer-specific acceptance criteria, and review by qualified process and quality personnel.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