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54B36"/>
          <w:sz w:val="44"/>
          <w:szCs w:val="44"/>
        </w:rPr>
        <w:t xml:space="preserve">Interview Kit and Submission Checklist</w:t>
      </w:r>
    </w:p>
    <w:p>
      <w:pPr>
        <w:spacing w:after="200" w:before="0"/>
      </w:pPr>
      <w:r>
        <w:rPr>
          <w:rFonts w:ascii="Calibri" w:cs="Calibri" w:eastAsia="Calibri" w:hAnsi="Calibri"/>
          <w:color w:val="5C6B63"/>
          <w:sz w:val="22"/>
          <w:szCs w:val="22"/>
        </w:rPr>
        <w:t xml:space="preserve">NutriScore Checkout Tool (NUT-04)  ·  Assignments 1 and 2  ·  use alongside the two 4-slide decks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1. Ground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 not pitch. Never mention, describe or demonstrate the extension. The goal is to understand the problem, not to persuade anyone.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Assignment 1 needs at least three people who genuinely experience the problem. Assignment 2 needs at least two from priority segment A: adults advised to cut sugar or salt who shop for groceries online every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Ask for the last time it happened and follow the story. Opinions about imaginary features are not evidence.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Anonymise everything. Use P1, P2, P3. Record no names, contact details, photos or diagnoses: both assignments exclude personally identifiable and sensitive health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 down contradictions. A finding that goes against an assumption is the most valuable one.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2. Recruiting and screening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Aim for five people, so that at least three support Assignment 1 and at least two fit segment A. Ask your programme facilitator whether one conversation may count toward both assignments.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146"/>
      </w:tblGrid>
      <w:tr>
        <w:trPr>
          <w:tblHeader/>
        </w:trPr>
        <w:tc>
          <w:tcPr>
            <w:tcW w:type="dxa" w:w="5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Screener question</w:t>
            </w:r>
          </w:p>
        </w:tc>
        <w:tc>
          <w:tcPr>
            <w:tcW w:type="dxa" w:w="41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note</w:t>
            </w:r>
          </w:p>
        </w:tc>
      </w:tr>
      <w:tr>
        <w:tc>
          <w:tcPr>
            <w:tcW w:type="dxa" w:w="5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buy groceries online, for example on Naivas Online or Carrefour Kenya, at least every two weeks?</w:t>
            </w:r>
          </w:p>
        </w:tc>
        <w:tc>
          <w:tcPr>
            <w:tcW w:type="dxa" w:w="41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is required</w:t>
            </w:r>
          </w:p>
        </w:tc>
      </w:tr>
      <w:tr>
        <w:tc>
          <w:tcPr>
            <w:tcW w:type="dxa" w:w="5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you, or the person you shop for, need to limit sugar, salt or fat for health reasons?</w:t>
            </w:r>
          </w:p>
        </w:tc>
        <w:tc>
          <w:tcPr>
            <w:tcW w:type="dxa" w:w="41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yes or no only. Do not ask which condition.</w:t>
            </w:r>
          </w:p>
        </w:tc>
      </w:tr>
      <w:tr>
        <w:tc>
          <w:tcPr>
            <w:tcW w:type="dxa" w:w="5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device do you usually use to shop online?</w:t>
            </w:r>
          </w:p>
        </w:tc>
        <w:tc>
          <w:tcPr>
            <w:tcW w:type="dxa" w:w="41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 or desktop, phone browser, or the retailer’s app (tests assumption 3)</w:t>
            </w:r>
          </w:p>
        </w:tc>
      </w:tr>
      <w:tr>
        <w:tc>
          <w:tcPr>
            <w:tcW w:type="dxa" w:w="5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you 18 or older, and happy to talk for about 20 minutes with no name recorded?</w:t>
            </w:r>
          </w:p>
        </w:tc>
        <w:tc>
          <w:tcPr>
            <w:tcW w:type="dxa" w:w="41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is required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3. Interview guide (about 20 minutes)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Opening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C6B63"/>
          <w:sz w:val="22"/>
          <w:szCs w:val="22"/>
        </w:rPr>
        <w:t xml:space="preserve">“I am a student working on a project about grocery shopping online. There are no right or wrong answers. I will take notes without your name, you can skip any question, and you can stop at any time. Is that all right?”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Core questions (from the Assignment 1 guidance)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Tell me about the last time you did your grocery shop online.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happened?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was the most difficult part?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are you currently dealing with it?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does the current situation cost you in time, money, effort or stress?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often does this happen?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How important is it for you to solve this problem?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have you already tried?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Extra probes for segment A (Assignment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Which device, and which site or app, did you use?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Walk me through your last cart. Which items did you check, and how?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Who else advises you on what to buy: a clinician, a dietitian, family, the media?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makes you trust, or ignore, information about a food product?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there anything I should have asked you?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Which questions test which assumption: </w:t>
      </w:r>
      <w:r>
        <w:rPr>
          <w:rFonts w:ascii="Calibri" w:cs="Calibri" w:eastAsia="Calibri" w:hAnsi="Calibri"/>
          <w:sz w:val="22"/>
          <w:szCs w:val="22"/>
        </w:rPr>
        <w:t xml:space="preserve">questions 1–3 test assumption 1 (need at the cart); questions 4, 5 and 8 test assumption 2 (today’s fix falls short); the device and trust probes test assumption 3 (channel and trust).</w:t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4. Evidence capture sheet</w:t>
      </w:r>
    </w:p>
    <w:p>
      <w:pPr>
        <w:spacing w:after="120" w:before="0"/>
      </w:pPr>
      <w:r>
        <w:rPr>
          <w:rFonts w:ascii="Calibri" w:cs="Calibri" w:eastAsia="Calibri" w:hAnsi="Calibri"/>
          <w:color w:val="5C6B63"/>
          <w:sz w:val="22"/>
          <w:szCs w:val="22"/>
        </w:rPr>
        <w:t xml:space="preserve">Copy this table once per participant. Fill it in immediately after the conversation, in the participant’s own words where you can.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Participant ID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P__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 band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 (broad)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Device, and site or app used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Fits segment A? (Y / N)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online shop, step by step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frustrates them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hardest moment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often it happens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costs them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Time, money, effort, stress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workaround, and what they tried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Importance (1–5) and why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Strongest verbatim quote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Exact words, no paraphrase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contradicted our assumptions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Assignment 2 step 3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Assumption 1: need at the cart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confirmed  /  ~ partly  /  ✗ contradicted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Assumption 2: today’s fix falls short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 /  ~  /  ✗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E8F1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Assumption 3: channel and trust</w:t>
            </w:r>
          </w:p>
        </w:tc>
        <w:tc>
          <w:tcPr>
            <w:tcW w:type="dxa" w:w="64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 /  ~  /  ✗</w:t>
            </w:r>
          </w:p>
        </w:tc>
      </w:tr>
    </w:tbl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5. Privacy and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verbal consent before you start and say plainly how the notes will be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Collect the minimum. Health-related information is sensitive personal data under Kenya’s Data Protection Act, 2019, so record only that a participant limits sugar, salt or fat, never the condition behind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Keep notes under participant IDs in one protected file. If you record audio, delete it once your notes are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your university’s research-ethics guidance before you start; some courses require approval even for short student interviews.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mbria" w:cs="Cambria" w:eastAsia="Cambria" w:hAnsi="Cambria"/>
          <w:b/>
          <w:bCs/>
          <w:color w:val="154B36"/>
          <w:sz w:val="30"/>
          <w:szCs w:val="30"/>
        </w:rPr>
        <w:t xml:space="preserve">6. Submission checklist</w:t>
      </w:r>
    </w:p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Assignment 1: Problem Validation (max 4 slides)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600"/>
        <w:gridCol w:w="1346"/>
      </w:tblGrid>
      <w:tr>
        <w:trPr>
          <w:tblHeader/>
        </w:trP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item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is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Venture idea (one sentence)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1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Problem hypothesis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1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Primary user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1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Three assumptions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2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Evidence from at least 3 conversations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3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Strongest quote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3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Validation decision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Revised problem statement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reflection: continue as defined?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</w:tbl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Assignment 2: User &amp; Stakeholder Validation (max 4 slides)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600"/>
        <w:gridCol w:w="1346"/>
      </w:tblGrid>
      <w:tr>
        <w:trPr>
          <w:tblHeader/>
        </w:trP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item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is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154B3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2–4 user segments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1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Selected primary user, and why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1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from at least 2 validation conversations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2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map (5–7 stakeholders)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3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three most critical stakeholders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3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major stakeholder risk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change you would now make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  <w:tr>
        <w:tc>
          <w:tcPr>
            <w:tcW w:type="dxa" w:w="58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reflection: what has changed?</w:t>
            </w:r>
          </w:p>
        </w:tc>
        <w:tc>
          <w:tcPr>
            <w:tcW w:type="dxa" w:w="2600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 4</w:t>
            </w:r>
          </w:p>
        </w:tc>
        <w:tc>
          <w:tcPr>
            <w:tcW w:type="dxa" w:w="1346"/>
            <w:tcBorders>
              <w:top w:val="single" w:color="C9D5CE" w:sz="4"/>
              <w:left w:val="single" w:color="C9D5CE" w:sz="4"/>
              <w:bottom w:val="single" w:color="C9D5CE" w:sz="4"/>
              <w:right w:val="single" w:color="C9D5C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  ]</w:t>
            </w:r>
          </w:p>
        </w:tc>
      </w:tr>
    </w:tbl>
    <w:p>
      <w:pPr>
        <w:pStyle w:val="Heading2"/>
        <w:spacing w:after="100" w:before="200"/>
      </w:pPr>
      <w:r>
        <w:rPr>
          <w:rFonts w:ascii="Cambria" w:cs="Cambria" w:eastAsia="Cambria" w:hAnsi="Cambria"/>
          <w:b/>
          <w:bCs/>
          <w:color w:val="154B36"/>
          <w:sz w:val="24"/>
          <w:szCs w:val="24"/>
        </w:rPr>
        <w:t xml:space="preserve">Before you submit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every orange dashed box with real interview evidence, then delete the “BEFORE PRESENTING” lines in the speaker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that no slide holds a name, a diagnosis or any other identifying or sensitive health detail.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 the .pptx sources and re-export the PDFs, because the PDFs cannot be edited.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Rename the files exactly as the assignments require: University_TeamName_Assignment1_ProblemValidation and University_TeamName_Assignment2_UserStakeholderValidation.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Kit and Submission Checklist</dc:title>
  <dc:creator>NUT-04</dc:creator>
  <cp:lastModifiedBy>Un-named</cp:lastModifiedBy>
  <cp:revision>1</cp:revision>
  <dcterms:created xsi:type="dcterms:W3CDTF">2026-09-18T21:55:54.884Z</dcterms:created>
  <dcterms:modified xsi:type="dcterms:W3CDTF">2026-09-18T21:55:54.884Z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