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154B36"/>
          <w:sz w:val="44"/>
          <w:szCs w:val="44"/>
        </w:rPr>
        <w:t xml:space="preserve">Assignment 3 Research &amp; Evidence Pack</w:t>
      </w:r>
    </w:p>
    <w:p>
      <w:pPr>
        <w:spacing w:after="80" w:before="0"/>
      </w:pPr>
      <w:r>
        <w:rPr>
          <w:rFonts w:ascii="Calibri" w:cs="Calibri" w:eastAsia="Calibri" w:hAnsi="Calibri"/>
          <w:color w:val="5C6B63"/>
          <w:sz w:val="22"/>
          <w:szCs w:val="22"/>
        </w:rPr>
        <w:t xml:space="preserve">NutriScore Checkout Tool (NUT-04)  ·  Research to Persona &amp; Journey Map  ·  use alongside Assignment_3_Presentation</w:t>
      </w:r>
    </w:p>
    <w:p>
      <w:pPr>
        <w:spacing w:after="200" w:before="0"/>
      </w:pPr>
      <w:r>
        <w:rPr>
          <w:rFonts w:ascii="Calibri" w:cs="Calibri" w:eastAsia="Calibri" w:hAnsi="Calibri"/>
          <w:b/>
          <w:bCs/>
          <w:color w:val="A85A00"/>
          <w:sz w:val="22"/>
          <w:szCs w:val="22"/>
        </w:rPr>
        <w:t xml:space="preserve">Keep this pack separate from the slides. </w:t>
      </w:r>
      <w:r>
        <w:rPr>
          <w:rFonts w:ascii="Calibri" w:cs="Calibri" w:eastAsia="Calibri" w:hAnsi="Calibri"/>
          <w:sz w:val="22"/>
          <w:szCs w:val="22"/>
        </w:rPr>
        <w:t xml:space="preserve">Assignment 3 asks you to keep interview notes and the evidence log out of the presentation itself — this document is where the real material lives before it is synthesised onto the six slides.</w:t>
      </w:r>
    </w:p>
    <w:p>
      <w:pPr>
        <w:pStyle w:val="Heading1"/>
        <w:spacing w:after="140" w:before="320"/>
      </w:pPr>
      <w:r>
        <w:rPr>
          <w:rFonts w:ascii="Cambria" w:cs="Cambria" w:eastAsia="Cambria" w:hAnsi="Cambria"/>
          <w:b/>
          <w:bCs/>
          <w:color w:val="154B36"/>
          <w:sz w:val="30"/>
          <w:szCs w:val="30"/>
        </w:rPr>
        <w:t xml:space="preserve">1. Research prep</w:t>
      </w:r>
    </w:p>
    <w:p>
      <w:pPr>
        <w:pStyle w:val="Heading2"/>
        <w:spacing w:after="100" w:before="200"/>
      </w:pPr>
      <w:r>
        <w:rPr>
          <w:rFonts w:ascii="Cambria" w:cs="Cambria" w:eastAsia="Cambria" w:hAnsi="Cambria"/>
          <w:b/>
          <w:bCs/>
          <w:color w:val="154B36"/>
          <w:sz w:val="24"/>
          <w:szCs w:val="24"/>
        </w:rPr>
        <w:t xml:space="preserve">Research objective</w:t>
      </w:r>
    </w:p>
    <w:p>
      <w:pPr>
        <w:spacing w:after="120" w:before="0"/>
      </w:pPr>
      <w:r>
        <w:rPr>
          <w:rFonts w:ascii="Calibri" w:cs="Calibri" w:eastAsia="Calibri" w:hAnsi="Calibri"/>
          <w:i/>
          <w:iCs/>
          <w:sz w:val="22"/>
          <w:szCs w:val="22"/>
        </w:rPr>
        <w:t xml:space="preserve">Confirm that shoppers already managing a diet-sensitive condition (Segment A) are the right priority user, and find the exact moment in their current online shop where the missing nutrition signal causes the most frustration — so the tool is built to intervene there first.</w:t>
      </w:r>
    </w:p>
    <w:p>
      <w:pPr>
        <w:pStyle w:val="Heading2"/>
        <w:spacing w:after="100" w:before="200"/>
      </w:pPr>
      <w:r>
        <w:rPr>
          <w:rFonts w:ascii="Cambria" w:cs="Cambria" w:eastAsia="Cambria" w:hAnsi="Cambria"/>
          <w:b/>
          <w:bCs/>
          <w:color w:val="154B36"/>
          <w:sz w:val="24"/>
          <w:szCs w:val="24"/>
        </w:rPr>
        <w:t xml:space="preserve">Three assumptions (to confirm or overturn, not prove)</w:t>
      </w:r>
    </w:p>
    <w:p>
      <w:pPr>
        <w:pStyle w:val="ListParagraph"/>
        <w:numPr>
          <w:ilvl w:val="0"/>
          <w:numId w:val="2"/>
        </w:numPr>
        <w:spacing w:after="80"/>
      </w:pPr>
      <w:r>
        <w:rPr>
          <w:rFonts w:ascii="Calibri" w:cs="Calibri" w:eastAsia="Calibri" w:hAnsi="Calibri"/>
          <w:sz w:val="22"/>
          <w:szCs w:val="22"/>
        </w:rPr>
        <w:t xml:space="preserve">This is a recurring weekly frustration for segment-A shoppers, not a rare, one-off problem.</w:t>
      </w:r>
    </w:p>
    <w:p>
      <w:pPr>
        <w:pStyle w:val="ListParagraph"/>
        <w:numPr>
          <w:ilvl w:val="0"/>
          <w:numId w:val="2"/>
        </w:numPr>
        <w:spacing w:after="80"/>
      </w:pPr>
      <w:r>
        <w:rPr>
          <w:rFonts w:ascii="Calibri" w:cs="Calibri" w:eastAsia="Calibri" w:hAnsi="Calibri"/>
          <w:sz w:val="22"/>
          <w:szCs w:val="22"/>
        </w:rPr>
        <w:t xml:space="preserve">Current workarounds — memorised rules, label-reading, asking others — fail often enough that wrong-fit items still reach the cart.</w:t>
      </w:r>
    </w:p>
    <w:p>
      <w:pPr>
        <w:pStyle w:val="ListParagraph"/>
        <w:numPr>
          <w:ilvl w:val="0"/>
          <w:numId w:val="2"/>
        </w:numPr>
        <w:spacing w:after="80"/>
      </w:pPr>
      <w:r>
        <w:rPr>
          <w:rFonts w:ascii="Calibri" w:cs="Calibri" w:eastAsia="Calibri" w:hAnsi="Calibri"/>
          <w:sz w:val="22"/>
          <w:szCs w:val="22"/>
        </w:rPr>
        <w:t xml:space="preserve">Friction peaks at the moment of evaluating a specific product — more than at browsing, cart review or checkout.</w:t>
      </w:r>
    </w:p>
    <w:p>
      <w:pPr>
        <w:pStyle w:val="Heading2"/>
        <w:spacing w:after="100" w:before="200"/>
      </w:pPr>
      <w:r>
        <w:rPr>
          <w:rFonts w:ascii="Cambria" w:cs="Cambria" w:eastAsia="Cambria" w:hAnsi="Cambria"/>
          <w:b/>
          <w:bCs/>
          <w:color w:val="154B36"/>
          <w:sz w:val="24"/>
          <w:szCs w:val="24"/>
        </w:rPr>
        <w:t xml:space="preserve">Priority participants</w:t>
      </w:r>
    </w:p>
    <w:p>
      <w:pPr>
        <w:spacing w:after="200" w:before="0"/>
      </w:pPr>
      <w:r>
        <w:rPr>
          <w:rFonts w:ascii="Calibri" w:cs="Calibri" w:eastAsia="Calibri" w:hAnsi="Calibri"/>
          <w:sz w:val="22"/>
          <w:szCs w:val="22"/>
        </w:rPr>
        <w:t xml:space="preserve">Segment A: adults advised by a health professional to limit sugar, salt or fat, who shop for groceries online at least every two weeks. Minimum evidence: 3 interviews + 1 observation.</w:t>
      </w:r>
    </w:p>
    <w:p>
      <w:pPr>
        <w:pStyle w:val="Heading1"/>
        <w:spacing w:after="140" w:before="320"/>
      </w:pPr>
      <w:r>
        <w:rPr>
          <w:rFonts w:ascii="Cambria" w:cs="Cambria" w:eastAsia="Cambria" w:hAnsi="Cambria"/>
          <w:b/>
          <w:bCs/>
          <w:color w:val="154B36"/>
          <w:sz w:val="30"/>
          <w:szCs w:val="30"/>
        </w:rPr>
        <w:t xml:space="preserve">2. Research ethics  (read before every conversation)</w:t>
      </w:r>
    </w:p>
    <w:p>
      <w:pPr>
        <w:pStyle w:val="ListParagraph"/>
        <w:numPr>
          <w:ilvl w:val="0"/>
          <w:numId w:val="3"/>
        </w:numPr>
        <w:spacing w:after="80"/>
      </w:pPr>
      <w:r>
        <w:rPr>
          <w:rFonts w:ascii="Calibri" w:cs="Calibri" w:eastAsia="Calibri" w:hAnsi="Calibri"/>
          <w:sz w:val="22"/>
          <w:szCs w:val="22"/>
        </w:rPr>
        <w:t xml:space="preserve">Explain who you are and why you are doing this research, in plain language, before you start.</w:t>
      </w:r>
    </w:p>
    <w:p>
      <w:pPr>
        <w:pStyle w:val="ListParagraph"/>
        <w:numPr>
          <w:ilvl w:val="0"/>
          <w:numId w:val="3"/>
        </w:numPr>
        <w:spacing w:after="80"/>
      </w:pPr>
      <w:r>
        <w:rPr>
          <w:rFonts w:ascii="Calibri" w:cs="Calibri" w:eastAsia="Calibri" w:hAnsi="Calibri"/>
          <w:sz w:val="22"/>
          <w:szCs w:val="22"/>
        </w:rPr>
        <w:t xml:space="preserve">Make participation voluntary. Participants may skip any question or stop at any time, with no consequence.</w:t>
      </w:r>
    </w:p>
    <w:p>
      <w:pPr>
        <w:pStyle w:val="ListParagraph"/>
        <w:numPr>
          <w:ilvl w:val="0"/>
          <w:numId w:val="3"/>
        </w:numPr>
        <w:spacing w:after="80"/>
      </w:pPr>
      <w:r>
        <w:rPr>
          <w:rFonts w:ascii="Calibri" w:cs="Calibri" w:eastAsia="Calibri" w:hAnsi="Calibri"/>
          <w:sz w:val="22"/>
          <w:szCs w:val="22"/>
        </w:rPr>
        <w:t xml:space="preserve">Avoid unnecessary personal or sensitive health information. Record only that a participant limits sugar, salt or fat — never the condition, a diagnosis, or other health history.</w:t>
      </w:r>
    </w:p>
    <w:p>
      <w:pPr>
        <w:pStyle w:val="ListParagraph"/>
        <w:numPr>
          <w:ilvl w:val="0"/>
          <w:numId w:val="3"/>
        </w:numPr>
        <w:spacing w:after="80"/>
      </w:pPr>
      <w:r>
        <w:rPr>
          <w:rFonts w:ascii="Calibri" w:cs="Calibri" w:eastAsia="Calibri" w:hAnsi="Calibri"/>
          <w:sz w:val="22"/>
          <w:szCs w:val="22"/>
        </w:rPr>
        <w:t xml:space="preserve">Do not provide medical advice, and do not pressure participants toward any answer or product.</w:t>
      </w:r>
    </w:p>
    <w:p>
      <w:pPr>
        <w:pStyle w:val="ListParagraph"/>
        <w:numPr>
          <w:ilvl w:val="0"/>
          <w:numId w:val="3"/>
        </w:numPr>
        <w:spacing w:after="80"/>
      </w:pPr>
      <w:r>
        <w:rPr>
          <w:rFonts w:ascii="Calibri" w:cs="Calibri" w:eastAsia="Calibri" w:hAnsi="Calibri"/>
          <w:sz w:val="22"/>
          <w:szCs w:val="22"/>
        </w:rPr>
        <w:t xml:space="preserve">Anonymise every piece of evidence using a participant ID: P01, P02, P03… Never record a name.</w:t>
      </w:r>
    </w:p>
    <w:p>
      <w:pPr>
        <w:pStyle w:val="Heading1"/>
        <w:spacing w:after="140" w:before="320"/>
      </w:pPr>
      <w:r>
        <w:rPr>
          <w:rFonts w:ascii="Cambria" w:cs="Cambria" w:eastAsia="Cambria" w:hAnsi="Cambria"/>
          <w:b/>
          <w:bCs/>
          <w:color w:val="154B36"/>
          <w:sz w:val="30"/>
          <w:szCs w:val="30"/>
        </w:rPr>
        <w:t xml:space="preserve">3. Interview guide  (6–8 open questions, about 20 minutes)</w:t>
      </w:r>
    </w:p>
    <w:p>
      <w:pPr>
        <w:spacing w:after="120" w:before="0"/>
      </w:pPr>
      <w:r>
        <w:rPr>
          <w:rFonts w:ascii="Calibri" w:cs="Calibri" w:eastAsia="Calibri" w:hAnsi="Calibri"/>
          <w:i/>
          <w:iCs/>
          <w:color w:val="5C6B63"/>
          <w:sz w:val="22"/>
          <w:szCs w:val="22"/>
        </w:rPr>
        <w:t xml:space="preserve">Ask for the last time it happened, then follow the story. Never ask whether someone likes or would use the proposed tool.</w:t>
      </w:r>
    </w:p>
    <w:p>
      <w:pPr>
        <w:pStyle w:val="ListParagraph"/>
        <w:numPr>
          <w:ilvl w:val="0"/>
          <w:numId w:val="4"/>
        </w:numPr>
        <w:spacing w:after="80"/>
      </w:pPr>
      <w:r>
        <w:rPr>
          <w:rFonts w:ascii="Calibri" w:cs="Calibri" w:eastAsia="Calibri" w:hAnsi="Calibri"/>
          <w:sz w:val="22"/>
          <w:szCs w:val="22"/>
        </w:rPr>
        <w:t xml:space="preserve">Tell me about the last time you shopped for groceries online and had to think about sugar, salt or fat in what you were buying. Walk me through it, step by step.</w:t>
      </w:r>
    </w:p>
    <w:p>
      <w:pPr>
        <w:pStyle w:val="ListParagraph"/>
        <w:numPr>
          <w:ilvl w:val="0"/>
          <w:numId w:val="4"/>
        </w:numPr>
        <w:spacing w:after="80"/>
      </w:pPr>
      <w:r>
        <w:rPr>
          <w:rFonts w:ascii="Calibri" w:cs="Calibri" w:eastAsia="Calibri" w:hAnsi="Calibri"/>
          <w:sz w:val="22"/>
          <w:szCs w:val="22"/>
        </w:rPr>
        <w:t xml:space="preserve">In that shop, which moment was hardest — deciding what to buy, finding the information, or something else? What made it hard?</w:t>
      </w:r>
    </w:p>
    <w:p>
      <w:pPr>
        <w:pStyle w:val="ListParagraph"/>
        <w:numPr>
          <w:ilvl w:val="0"/>
          <w:numId w:val="4"/>
        </w:numPr>
        <w:spacing w:after="80"/>
      </w:pPr>
      <w:r>
        <w:rPr>
          <w:rFonts w:ascii="Calibri" w:cs="Calibri" w:eastAsia="Calibri" w:hAnsi="Calibri"/>
          <w:sz w:val="22"/>
          <w:szCs w:val="22"/>
        </w:rPr>
        <w:t xml:space="preserve">How often does this happen when you shop online: every time, sometimes, rarely?</w:t>
      </w:r>
    </w:p>
    <w:p>
      <w:pPr>
        <w:pStyle w:val="ListParagraph"/>
        <w:numPr>
          <w:ilvl w:val="0"/>
          <w:numId w:val="4"/>
        </w:numPr>
        <w:spacing w:after="80"/>
      </w:pPr>
      <w:r>
        <w:rPr>
          <w:rFonts w:ascii="Calibri" w:cs="Calibri" w:eastAsia="Calibri" w:hAnsi="Calibri"/>
          <w:sz w:val="22"/>
          <w:szCs w:val="22"/>
        </w:rPr>
        <w:t xml:space="preserve">Tell me about a time you got it wrong — bought something and only realised later it did not fit what you needed. What happened?</w:t>
      </w:r>
    </w:p>
    <w:p>
      <w:pPr>
        <w:pStyle w:val="ListParagraph"/>
        <w:numPr>
          <w:ilvl w:val="0"/>
          <w:numId w:val="4"/>
        </w:numPr>
        <w:spacing w:after="80"/>
      </w:pPr>
      <w:r>
        <w:rPr>
          <w:rFonts w:ascii="Calibri" w:cs="Calibri" w:eastAsia="Calibri" w:hAnsi="Calibri"/>
          <w:sz w:val="22"/>
          <w:szCs w:val="22"/>
        </w:rPr>
        <w:t xml:space="preserve">What do you currently do to work out whether a product is right for you before it goes in the cart?</w:t>
      </w:r>
    </w:p>
    <w:p>
      <w:pPr>
        <w:pStyle w:val="ListParagraph"/>
        <w:numPr>
          <w:ilvl w:val="0"/>
          <w:numId w:val="4"/>
        </w:numPr>
        <w:spacing w:after="80"/>
      </w:pPr>
      <w:r>
        <w:rPr>
          <w:rFonts w:ascii="Calibri" w:cs="Calibri" w:eastAsia="Calibri" w:hAnsi="Calibri"/>
          <w:sz w:val="22"/>
          <w:szCs w:val="22"/>
        </w:rPr>
        <w:t xml:space="preserve">Tell me about a time that approach did not work, or felt like too much effort. What did you do instead?</w:t>
      </w:r>
    </w:p>
    <w:p>
      <w:pPr>
        <w:pStyle w:val="ListParagraph"/>
        <w:numPr>
          <w:ilvl w:val="0"/>
          <w:numId w:val="4"/>
        </w:numPr>
        <w:spacing w:after="80"/>
      </w:pPr>
      <w:r>
        <w:rPr>
          <w:rFonts w:ascii="Calibri" w:cs="Calibri" w:eastAsia="Calibri" w:hAnsi="Calibri"/>
          <w:sz w:val="22"/>
          <w:szCs w:val="22"/>
        </w:rPr>
        <w:t xml:space="preserve">Who or what do you rely on for advice on this — a clinician, family, pack labels, an app, anything else?</w:t>
      </w:r>
    </w:p>
    <w:p>
      <w:pPr>
        <w:pStyle w:val="ListParagraph"/>
        <w:numPr>
          <w:ilvl w:val="0"/>
          <w:numId w:val="4"/>
        </w:numPr>
        <w:spacing w:after="80"/>
      </w:pPr>
      <w:r>
        <w:rPr>
          <w:rFonts w:ascii="Calibri" w:cs="Calibri" w:eastAsia="Calibri" w:hAnsi="Calibri"/>
          <w:sz w:val="22"/>
          <w:szCs w:val="22"/>
        </w:rPr>
        <w:t xml:space="preserve">If you could change one thing about how you shop online to make this easier, what would it be, and why?</w:t>
      </w:r>
    </w:p>
    <w:p>
      <w:pPr>
        <w:spacing w:after="120" w:before="60"/>
      </w:pPr>
      <w:r>
        <w:rPr>
          <w:rFonts w:ascii="Calibri" w:cs="Calibri" w:eastAsia="Calibri" w:hAnsi="Calibri"/>
          <w:b/>
          <w:bCs/>
          <w:color w:val="154B36"/>
          <w:sz w:val="22"/>
          <w:szCs w:val="22"/>
        </w:rPr>
        <w:t xml:space="preserve">Mapping questions to the research plan:  </w:t>
      </w:r>
      <w:r>
        <w:rPr>
          <w:rFonts w:ascii="Calibri" w:cs="Calibri" w:eastAsia="Calibri" w:hAnsi="Calibri"/>
          <w:sz w:val="22"/>
          <w:szCs w:val="22"/>
        </w:rPr>
        <w:t xml:space="preserve">Q1–Q3 test assumption 1 (frequency &amp; severity); Q4–Q6 test assumption 2 (alternatives fall short); Q1, Q2 and Q7 also feed the journey map stages directly.</w:t>
      </w:r>
    </w:p>
    <w:p>
      <w:pPr>
        <w:pStyle w:val="Heading1"/>
        <w:spacing w:after="140" w:before="320"/>
      </w:pPr>
      <w:r>
        <w:rPr>
          <w:rFonts w:ascii="Cambria" w:cs="Cambria" w:eastAsia="Cambria" w:hAnsi="Cambria"/>
          <w:b/>
          <w:bCs/>
          <w:color w:val="154B36"/>
          <w:sz w:val="30"/>
          <w:szCs w:val="30"/>
        </w:rPr>
        <w:t xml:space="preserve">4. Observation guide  (1 observation, where reasonably possible)</w:t>
      </w:r>
    </w:p>
    <w:p>
      <w:pPr>
        <w:spacing w:after="100" w:before="0"/>
      </w:pPr>
      <w:r>
        <w:rPr>
          <w:rFonts w:ascii="Calibri" w:cs="Calibri" w:eastAsia="Calibri" w:hAnsi="Calibri"/>
          <w:sz w:val="22"/>
          <w:szCs w:val="22"/>
        </w:rPr>
        <w:t xml:space="preserve">An interview captures what people say; an observation captures what they actually do. Look past self-report for real behaviour, friction, workarounds, artefacts and exceptions.</w:t>
      </w:r>
    </w:p>
    <w:p>
      <w:pPr>
        <w:pStyle w:val="ListParagraph"/>
        <w:numPr>
          <w:ilvl w:val="0"/>
          <w:numId w:val="3"/>
        </w:numPr>
        <w:spacing w:after="80"/>
      </w:pPr>
      <w:r>
        <w:rPr>
          <w:rFonts w:ascii="Calibri" w:cs="Calibri" w:eastAsia="Calibri" w:hAnsi="Calibri"/>
          <w:sz w:val="22"/>
          <w:szCs w:val="22"/>
        </w:rPr>
        <w:t xml:space="preserve">Best option: with consent, watch a segment-A participant do a real online grocery shop (in person or by screen-share) and narrate as they go.</w:t>
      </w:r>
    </w:p>
    <w:p>
      <w:pPr>
        <w:pStyle w:val="ListParagraph"/>
        <w:numPr>
          <w:ilvl w:val="0"/>
          <w:numId w:val="3"/>
        </w:numPr>
        <w:spacing w:after="80"/>
      </w:pPr>
      <w:r>
        <w:rPr>
          <w:rFonts w:ascii="Calibri" w:cs="Calibri" w:eastAsia="Calibri" w:hAnsi="Calibri"/>
          <w:sz w:val="22"/>
          <w:szCs w:val="22"/>
        </w:rPr>
        <w:t xml:space="preserve">If that is not possible: observe a real shop in a physical store instead, paying attention to how the participant reads packs — the on-pack information gap is a reasonable proxy for the online one.</w:t>
      </w:r>
    </w:p>
    <w:p>
      <w:pPr>
        <w:pStyle w:val="ListParagraph"/>
        <w:numPr>
          <w:ilvl w:val="0"/>
          <w:numId w:val="3"/>
        </w:numPr>
        <w:spacing w:after="80"/>
      </w:pPr>
      <w:r>
        <w:rPr>
          <w:rFonts w:ascii="Calibri" w:cs="Calibri" w:eastAsia="Calibri" w:hAnsi="Calibri"/>
          <w:sz w:val="22"/>
          <w:szCs w:val="22"/>
        </w:rPr>
        <w:t xml:space="preserve">Capture: the setting, what the participant actually looked at or did (not what they said they do), where they hesitated or backtracked, any workaround in action, and anything that surprised you.</w:t>
      </w:r>
    </w:p>
    <w:p>
      <w:pPr>
        <w:pStyle w:val="Heading2"/>
        <w:spacing w:after="100" w:before="200"/>
      </w:pPr>
      <w:r>
        <w:rPr>
          <w:rFonts w:ascii="Cambria" w:cs="Cambria" w:eastAsia="Cambria" w:hAnsi="Cambria"/>
          <w:b/>
          <w:bCs/>
          <w:color w:val="154B36"/>
          <w:sz w:val="24"/>
          <w:szCs w:val="24"/>
        </w:rPr>
        <w:t xml:space="preserve">Observation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5746"/>
      </w:tblGrid>
      <w:tr>
        <w:trPr>
          <w:tblHeader/>
        </w:trPr>
        <w:tc>
          <w:tcPr>
            <w:tcW w:type="dxa" w:w="40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57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Observation ID</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OBS-1</w:t>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Date and setting</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Participant (anonymised)</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Duration</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What they actually did, step by step</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Friction observed</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Workaround observed</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Artefacts (what they looked at, read or touched)</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40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Exceptions or surprises</w:t>
            </w:r>
          </w:p>
        </w:tc>
        <w:tc>
          <w:tcPr>
            <w:tcW w:type="dxa" w:w="5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r>
        <w:br w:type="page"/>
      </w:r>
    </w:p>
    <w:p>
      <w:pPr>
        <w:pStyle w:val="Heading1"/>
        <w:spacing w:after="140" w:before="320"/>
      </w:pPr>
      <w:r>
        <w:rPr>
          <w:rFonts w:ascii="Cambria" w:cs="Cambria" w:eastAsia="Cambria" w:hAnsi="Cambria"/>
          <w:b/>
          <w:bCs/>
          <w:color w:val="154B36"/>
          <w:sz w:val="30"/>
          <w:szCs w:val="30"/>
        </w:rPr>
        <w:t xml:space="preserve">5. Evidence log</w:t>
      </w:r>
    </w:p>
    <w:p>
      <w:pPr>
        <w:spacing w:after="100" w:before="0"/>
      </w:pPr>
      <w:r>
        <w:rPr>
          <w:rFonts w:ascii="Calibri" w:cs="Calibri" w:eastAsia="Calibri" w:hAnsi="Calibri"/>
          <w:color w:val="5C6B63"/>
          <w:sz w:val="22"/>
          <w:szCs w:val="22"/>
        </w:rPr>
        <w:t xml:space="preserve">One row per piece of evidence, not one row per person — a single conversation may surface several. Capture it in the participant’s own words where you can.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500"/>
        <w:gridCol w:w="2546"/>
      </w:tblGrid>
      <w:tr>
        <w:trPr>
          <w:tblHeader/>
        </w:trPr>
        <w:tc>
          <w:tcPr>
            <w:tcW w:type="dxa" w:w="15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Participant ID</w:t>
            </w:r>
          </w:p>
        </w:tc>
        <w:tc>
          <w:tcPr>
            <w:tcW w:type="dxa" w:w="32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Quote / observation</w:t>
            </w:r>
          </w:p>
        </w:tc>
        <w:tc>
          <w:tcPr>
            <w:tcW w:type="dxa" w:w="25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Context</w:t>
            </w:r>
          </w:p>
        </w:tc>
        <w:tc>
          <w:tcPr>
            <w:tcW w:type="dxa" w:w="25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Why it matters</w:t>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560" w:hRule="atLeast"/>
        </w:trPr>
        <w:tc>
          <w:tcPr>
            <w:tcW w:type="dxa" w:w="1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2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r>
        <w:br w:type="page"/>
      </w:r>
    </w:p>
    <w:p>
      <w:pPr>
        <w:pStyle w:val="Heading1"/>
        <w:spacing w:after="140" w:before="320"/>
      </w:pPr>
      <w:r>
        <w:rPr>
          <w:rFonts w:ascii="Cambria" w:cs="Cambria" w:eastAsia="Cambria" w:hAnsi="Cambria"/>
          <w:b/>
          <w:bCs/>
          <w:color w:val="154B36"/>
          <w:sz w:val="30"/>
          <w:szCs w:val="30"/>
        </w:rPr>
        <w:t xml:space="preserve">6. Evidence → pattern → insight worksheet</w:t>
      </w:r>
    </w:p>
    <w:p>
      <w:pPr>
        <w:spacing w:after="100" w:before="0"/>
      </w:pPr>
      <w:r>
        <w:rPr>
          <w:rFonts w:ascii="Calibri" w:cs="Calibri" w:eastAsia="Calibri" w:hAnsi="Calibri"/>
          <w:color w:val="5C6B63"/>
          <w:sz w:val="22"/>
          <w:szCs w:val="22"/>
        </w:rPr>
        <w:t xml:space="preserve">Do not jump straight from evidence to persona. First look across all participants for what repeats, then ask what it means.</w:t>
      </w:r>
    </w:p>
    <w:p>
      <w:pPr>
        <w:pStyle w:val="Heading2"/>
        <w:spacing w:after="100" w:before="200"/>
      </w:pPr>
      <w:r>
        <w:rPr>
          <w:rFonts w:ascii="Cambria" w:cs="Cambria" w:eastAsia="Cambria" w:hAnsi="Cambria"/>
          <w:b/>
          <w:bCs/>
          <w:color w:val="154B36"/>
          <w:sz w:val="24"/>
          <w:szCs w:val="24"/>
        </w:rPr>
        <w:t xml:space="preserve">Worked example (from the brief)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tblHeader/>
        </w:trPr>
        <w:tc>
          <w:tcPr>
            <w:tcW w:type="dxa" w:w="15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82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15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Evidence</w:t>
            </w:r>
          </w:p>
        </w:tc>
        <w:tc>
          <w:tcPr>
            <w:tcW w:type="dxa" w:w="8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“I normally ask the pharmacist first.”  /  “Going to the clinic means losing half my day.”</w:t>
            </w:r>
          </w:p>
        </w:tc>
      </w:tr>
      <w:tr>
        <w:tc>
          <w:tcPr>
            <w:tcW w:type="dxa" w:w="15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Pattern</w:t>
            </w:r>
          </w:p>
        </w:tc>
        <w:tc>
          <w:tcPr>
            <w:tcW w:type="dxa" w:w="8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Users delay formal care when accessing it requires significant time or effort.</w:t>
            </w:r>
          </w:p>
        </w:tc>
      </w:tr>
      <w:tr>
        <w:tc>
          <w:tcPr>
            <w:tcW w:type="dxa" w:w="15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Insight</w:t>
            </w:r>
          </w:p>
        </w:tc>
        <w:tc>
          <w:tcPr>
            <w:tcW w:type="dxa" w:w="8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Users may accept greater clinical uncertainty when formal care demands disproportionate time, cost or inconvenience.</w:t>
            </w:r>
          </w:p>
        </w:tc>
      </w:tr>
    </w:tbl>
    <w:p>
      <w:pPr>
        <w:spacing w:after="80" w:before="0"/>
      </w:pPr>
      <w:r>
        <w:rPr>
          <w:rFonts w:ascii="Calibri" w:cs="Calibri" w:eastAsia="Calibri" w:hAnsi="Calibri"/>
          <w:sz w:val="22"/>
          <w:szCs w:val="22"/>
        </w:rPr>
        <w:t xml:space="preserve"/>
      </w:r>
    </w:p>
    <w:p>
      <w:pPr>
        <w:pStyle w:val="Heading2"/>
        <w:spacing w:after="100" w:before="200"/>
      </w:pPr>
      <w:r>
        <w:rPr>
          <w:rFonts w:ascii="Cambria" w:cs="Cambria" w:eastAsia="Cambria" w:hAnsi="Cambria"/>
          <w:b/>
          <w:bCs/>
          <w:color w:val="154B36"/>
          <w:sz w:val="24"/>
          <w:szCs w:val="24"/>
        </w:rPr>
        <w:t xml:space="preserve">Your worksheet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46"/>
      </w:tblGrid>
      <w:tr>
        <w:trPr>
          <w:tblHeader/>
        </w:trPr>
        <w:tc>
          <w:tcPr>
            <w:tcW w:type="dxa" w:w="28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Evidence (which participants)</w:t>
            </w:r>
          </w:p>
        </w:tc>
        <w:tc>
          <w:tcPr>
            <w:tcW w:type="dxa" w:w="34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Pattern (what repeats)</w:t>
            </w:r>
          </w:p>
        </w:tc>
        <w:tc>
          <w:tcPr>
            <w:tcW w:type="dxa" w:w="35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Insight (what it means)</w:t>
            </w:r>
          </w:p>
        </w:tc>
      </w:tr>
      <w:tr>
        <w:trPr>
          <w:trHeight w:val="620" w:hRule="atLeast"/>
        </w:trPr>
        <w:tc>
          <w:tcPr>
            <w:tcW w:type="dxa" w:w="28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4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620" w:hRule="atLeast"/>
        </w:trPr>
        <w:tc>
          <w:tcPr>
            <w:tcW w:type="dxa" w:w="28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4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620" w:hRule="atLeast"/>
        </w:trPr>
        <w:tc>
          <w:tcPr>
            <w:tcW w:type="dxa" w:w="28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4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620" w:hRule="atLeast"/>
        </w:trPr>
        <w:tc>
          <w:tcPr>
            <w:tcW w:type="dxa" w:w="28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4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620" w:hRule="atLeast"/>
        </w:trPr>
        <w:tc>
          <w:tcPr>
            <w:tcW w:type="dxa" w:w="28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
            </w:r>
          </w:p>
        </w:tc>
        <w:tc>
          <w:tcPr>
            <w:tcW w:type="dxa" w:w="34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35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r>
        <w:br w:type="page"/>
      </w:r>
    </w:p>
    <w:p>
      <w:pPr>
        <w:pStyle w:val="Heading1"/>
        <w:spacing w:after="140" w:before="320"/>
      </w:pPr>
      <w:r>
        <w:rPr>
          <w:rFonts w:ascii="Cambria" w:cs="Cambria" w:eastAsia="Cambria" w:hAnsi="Cambria"/>
          <w:b/>
          <w:bCs/>
          <w:color w:val="154B36"/>
          <w:sz w:val="30"/>
          <w:szCs w:val="30"/>
        </w:rPr>
        <w:t xml:space="preserve">7. Persona evidence-mapping checklist</w:t>
      </w:r>
    </w:p>
    <w:p>
      <w:pPr>
        <w:spacing w:after="100" w:before="0"/>
      </w:pPr>
      <w:r>
        <w:rPr>
          <w:rFonts w:ascii="Calibri" w:cs="Calibri" w:eastAsia="Calibri" w:hAnsi="Calibri"/>
          <w:color w:val="5C6B63"/>
          <w:sz w:val="22"/>
          <w:szCs w:val="22"/>
        </w:rPr>
        <w:t xml:space="preserve">Before you trust the persona slide, check every line traces back to real evidence — not an assumption or a convenient guess.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746"/>
      </w:tblGrid>
      <w:tr>
        <w:trPr>
          <w:tblHeader/>
        </w:trPr>
        <w:tc>
          <w:tcPr>
            <w:tcW w:type="dxa" w:w="24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Persona field</w:t>
            </w:r>
          </w:p>
        </w:tc>
        <w:tc>
          <w:tcPr>
            <w:tcW w:type="dxa" w:w="46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must come from</w:t>
            </w:r>
          </w:p>
        </w:tc>
        <w:tc>
          <w:tcPr>
            <w:tcW w:type="dxa" w:w="27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Traced to (participant IDs)</w:t>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Who they are</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Only context that materially affects the problem — no invented demographics</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Primary goal</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What they are trying to achieve</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Key behaviours</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What they actually do, observed or described</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Needs</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What is not being met today</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Pain points</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What repeatedly creates difficulty</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Current alternatives</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How they manage the problem today</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Motivations</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What drives their decisions</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Constraints</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What limits their choices</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Representative quote</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A real, anonymised quote, not a paraphrase</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420" w:hRule="atLeast"/>
        </w:trPr>
        <w:tc>
          <w:tcPr>
            <w:tcW w:type="dxa" w:w="24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Key insight</w:t>
            </w:r>
          </w:p>
        </w:tc>
        <w:tc>
          <w:tcPr>
            <w:tcW w:type="dxa" w:w="4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The strongest insight from section 6, not a new claim</w:t>
            </w:r>
          </w:p>
        </w:tc>
        <w:tc>
          <w:tcPr>
            <w:tcW w:type="dxa" w:w="27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pStyle w:val="Heading1"/>
        <w:spacing w:after="140" w:before="320"/>
      </w:pPr>
      <w:r>
        <w:rPr>
          <w:rFonts w:ascii="Cambria" w:cs="Cambria" w:eastAsia="Cambria" w:hAnsi="Cambria"/>
          <w:b/>
          <w:bCs/>
          <w:color w:val="154B36"/>
          <w:sz w:val="30"/>
          <w:szCs w:val="30"/>
        </w:rPr>
        <w:t xml:space="preserve">8. Journey map evidence worksheet  (full nine fields)</w:t>
      </w:r>
    </w:p>
    <w:p>
      <w:pPr>
        <w:spacing w:after="100" w:before="0"/>
      </w:pPr>
      <w:r>
        <w:rPr>
          <w:rFonts w:ascii="Calibri" w:cs="Calibri" w:eastAsia="Calibri" w:hAnsi="Calibri"/>
          <w:color w:val="5C6B63"/>
          <w:sz w:val="22"/>
          <w:szCs w:val="22"/>
        </w:rPr>
        <w:t xml:space="preserve">The slide compresses thought and emotion into one field to fit the page; use the full nine fields here, then compress for the slide once the stages are confirmed. Add, rename, split or reorder stages if participants describe a different flow — do not force their experience into this skeleton.</w:t>
      </w:r>
    </w:p>
    <w:p>
      <w:pPr>
        <w:pStyle w:val="Heading2"/>
        <w:spacing w:after="100" w:before="200"/>
      </w:pPr>
      <w:r>
        <w:rPr>
          <w:rFonts w:ascii="Cambria" w:cs="Cambria" w:eastAsia="Cambria" w:hAnsi="Cambria"/>
          <w:b/>
          <w:bCs/>
          <w:color w:val="154B36"/>
          <w:sz w:val="24"/>
          <w:szCs w:val="24"/>
        </w:rPr>
        <w:t xml:space="preserve">Stage 1: Plan the shop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51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Action — what are they doing?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Thought — what are they thinking?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Emotion — how are they feeling?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Touchpoint — who or what are they interacting with?</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Pain point — what creates friction?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Workaround — what do they do when it fails?</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Evidence — which interview or observation?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Opportunity — what might improve here?</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pStyle w:val="Heading2"/>
        <w:spacing w:after="100" w:before="200"/>
      </w:pPr>
      <w:r>
        <w:rPr>
          <w:rFonts w:ascii="Cambria" w:cs="Cambria" w:eastAsia="Cambria" w:hAnsi="Cambria"/>
          <w:b/>
          <w:bCs/>
          <w:color w:val="154B36"/>
          <w:sz w:val="24"/>
          <w:szCs w:val="24"/>
        </w:rPr>
        <w:t xml:space="preserve">Stage 2: Browse the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51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Action — what are they doing?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Thought — what are they thinking?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Emotion — how are they feeling?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Touchpoint — who or what are they interacting with?</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Pain point — what creates friction?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Workaround — what do they do when it fails?</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Evidence — which interview or observation?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Opportunity — what might improve here?</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pStyle w:val="Heading2"/>
        <w:spacing w:after="100" w:before="200"/>
      </w:pPr>
      <w:r>
        <w:rPr>
          <w:rFonts w:ascii="Cambria" w:cs="Cambria" w:eastAsia="Cambria" w:hAnsi="Cambria"/>
          <w:b/>
          <w:bCs/>
          <w:color w:val="154B36"/>
          <w:sz w:val="24"/>
          <w:szCs w:val="24"/>
        </w:rPr>
        <w:t xml:space="preserve">Stage 3: Evaluate a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51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Action — what are they doing?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Thought — what are they thinking?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Emotion — how are they feeling?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Touchpoint — who or what are they interacting with?</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Pain point — what creates friction?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Workaround — what do they do when it fails?</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Evidence — which interview or observation?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Opportunity — what might improve here?</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pStyle w:val="Heading2"/>
        <w:spacing w:after="100" w:before="200"/>
      </w:pPr>
      <w:r>
        <w:rPr>
          <w:rFonts w:ascii="Cambria" w:cs="Cambria" w:eastAsia="Cambria" w:hAnsi="Cambria"/>
          <w:b/>
          <w:bCs/>
          <w:color w:val="154B36"/>
          <w:sz w:val="24"/>
          <w:szCs w:val="24"/>
        </w:rPr>
        <w:t xml:space="preserve">Stage 4: Build the cart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51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Action — what are they doing?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Thought — what are they thinking?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Emotion — how are they feeling?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Touchpoint — who or what are they interacting with?</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Pain point — what creates friction?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Workaround — what do they do when it fails?</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Evidence — which interview or observation?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Opportunity — what might improve here?</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pStyle w:val="Heading2"/>
        <w:spacing w:after="100" w:before="200"/>
      </w:pPr>
      <w:r>
        <w:rPr>
          <w:rFonts w:ascii="Cambria" w:cs="Cambria" w:eastAsia="Cambria" w:hAnsi="Cambria"/>
          <w:b/>
          <w:bCs/>
          <w:color w:val="154B36"/>
          <w:sz w:val="24"/>
          <w:szCs w:val="24"/>
        </w:rPr>
        <w:t xml:space="preserve">Stage 5: Shop &amp; reflect after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Element</w:t>
            </w:r>
          </w:p>
        </w:tc>
        <w:tc>
          <w:tcPr>
            <w:tcW w:type="dxa" w:w="51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Action — what are they doing?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Thought — what are they thinking?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Emotion — how are they feeling?</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Touchpoint — who or what are they interacting with?</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Pain point — what creates friction?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Workaround — what do they do when it fails?</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Evidence — which interview or observation?</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trHeight w:val="340" w:hRule="atLeast"/>
        </w:trPr>
        <w:tc>
          <w:tcPr>
            <w:tcW w:type="dxa" w:w="4600"/>
            <w:tcBorders>
              <w:top w:val="single" w:color="C9D5CE" w:sz="4"/>
              <w:left w:val="single" w:color="C9D5CE" w:sz="4"/>
              <w:bottom w:val="single" w:color="C9D5CE" w:sz="4"/>
              <w:right w:val="single" w:color="C9D5CE" w:sz="4"/>
            </w:tcBorders>
            <w:shd w:fill="E8F1EB" w:color="auto" w:val="clear"/>
            <w:tcMar>
              <w:top w:type="dxa" w:w="80"/>
              <w:left w:type="dxa" w:w="120"/>
              <w:bottom w:type="dxa" w:w="80"/>
              <w:right w:type="dxa" w:w="120"/>
            </w:tcMar>
          </w:tcPr>
          <w:p>
            <w:r>
              <w:rPr>
                <w:rFonts w:ascii="Calibri" w:cs="Calibri" w:eastAsia="Calibri" w:hAnsi="Calibri"/>
                <w:b/>
                <w:bCs/>
                <w:sz w:val="20"/>
                <w:szCs w:val="20"/>
              </w:rPr>
              <w:t xml:space="preserve">Opportunity — what might improve here?</w:t>
            </w:r>
          </w:p>
        </w:tc>
        <w:tc>
          <w:tcPr>
            <w:tcW w:type="dxa" w:w="51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r>
        <w:br w:type="page"/>
      </w:r>
    </w:p>
    <w:p>
      <w:pPr>
        <w:pStyle w:val="Heading1"/>
        <w:spacing w:after="140" w:before="320"/>
      </w:pPr>
      <w:r>
        <w:rPr>
          <w:rFonts w:ascii="Cambria" w:cs="Cambria" w:eastAsia="Cambria" w:hAnsi="Cambria"/>
          <w:b/>
          <w:bCs/>
          <w:color w:val="154B36"/>
          <w:sz w:val="30"/>
          <w:szCs w:val="30"/>
        </w:rPr>
        <w:t xml:space="preserve">9. Submission checklist</w:t>
      </w:r>
    </w:p>
    <w:p>
      <w:pPr>
        <w:pStyle w:val="Heading2"/>
        <w:spacing w:after="100" w:before="200"/>
      </w:pPr>
      <w:r>
        <w:rPr>
          <w:rFonts w:ascii="Cambria" w:cs="Cambria" w:eastAsia="Cambria" w:hAnsi="Cambria"/>
          <w:b/>
          <w:bCs/>
          <w:color w:val="154B36"/>
          <w:sz w:val="24"/>
          <w:szCs w:val="24"/>
        </w:rPr>
        <w:t xml:space="preserve">Assignment 3: Research to Persona &amp; Journey Map (max 6 slides)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7246"/>
        <w:gridCol w:w="1600"/>
      </w:tblGrid>
      <w:tr>
        <w:trPr>
          <w:tblHeader/>
        </w:trPr>
        <w:tc>
          <w:tcPr>
            <w:tcW w:type="dxa" w:w="9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Slide</w:t>
            </w:r>
          </w:p>
        </w:tc>
        <w:tc>
          <w:tcPr>
            <w:tcW w:type="dxa" w:w="7246"/>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Required content</w:t>
            </w:r>
          </w:p>
        </w:tc>
        <w:tc>
          <w:tcPr>
            <w:tcW w:type="dxa" w:w="1600"/>
            <w:tcBorders>
              <w:top w:val="single" w:color="C9D5CE" w:sz="4"/>
              <w:left w:val="single" w:color="C9D5CE" w:sz="4"/>
              <w:bottom w:val="single" w:color="C9D5CE" w:sz="4"/>
              <w:right w:val="single" w:color="C9D5CE" w:sz="4"/>
            </w:tcBorders>
            <w:shd w:fill="154B36" w:color="auto"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9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1</w:t>
            </w:r>
          </w:p>
        </w:tc>
        <w:tc>
          <w:tcPr>
            <w:tcW w:type="dxa" w:w="7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Research objective + three assumptions</w:t>
            </w:r>
          </w:p>
        </w:tc>
        <w:tc>
          <w:tcPr>
            <w:tcW w:type="dxa" w:w="1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t>
            </w:r>
          </w:p>
        </w:tc>
      </w:tr>
      <w:tr>
        <w:tc>
          <w:tcPr>
            <w:tcW w:type="dxa" w:w="9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2</w:t>
            </w:r>
          </w:p>
        </w:tc>
        <w:tc>
          <w:tcPr>
            <w:tcW w:type="dxa" w:w="7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Research conducted + strongest evidence</w:t>
            </w:r>
          </w:p>
        </w:tc>
        <w:tc>
          <w:tcPr>
            <w:tcW w:type="dxa" w:w="1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t>
            </w:r>
          </w:p>
        </w:tc>
      </w:tr>
      <w:tr>
        <w:tc>
          <w:tcPr>
            <w:tcW w:type="dxa" w:w="9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3</w:t>
            </w:r>
          </w:p>
        </w:tc>
        <w:tc>
          <w:tcPr>
            <w:tcW w:type="dxa" w:w="7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Patterns + 2–3 key insights</w:t>
            </w:r>
          </w:p>
        </w:tc>
        <w:tc>
          <w:tcPr>
            <w:tcW w:type="dxa" w:w="1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t>
            </w:r>
          </w:p>
        </w:tc>
      </w:tr>
      <w:tr>
        <w:tc>
          <w:tcPr>
            <w:tcW w:type="dxa" w:w="9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4</w:t>
            </w:r>
          </w:p>
        </w:tc>
        <w:tc>
          <w:tcPr>
            <w:tcW w:type="dxa" w:w="7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Data-driven persona</w:t>
            </w:r>
          </w:p>
        </w:tc>
        <w:tc>
          <w:tcPr>
            <w:tcW w:type="dxa" w:w="1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t>
            </w:r>
          </w:p>
        </w:tc>
      </w:tr>
      <w:tr>
        <w:tc>
          <w:tcPr>
            <w:tcW w:type="dxa" w:w="9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5</w:t>
            </w:r>
          </w:p>
        </w:tc>
        <w:tc>
          <w:tcPr>
            <w:tcW w:type="dxa" w:w="7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Current-state journey map</w:t>
            </w:r>
          </w:p>
        </w:tc>
        <w:tc>
          <w:tcPr>
            <w:tcW w:type="dxa" w:w="1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t>
            </w:r>
          </w:p>
        </w:tc>
      </w:tr>
      <w:tr>
        <w:tc>
          <w:tcPr>
            <w:tcW w:type="dxa" w:w="9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sz w:val="20"/>
                <w:szCs w:val="20"/>
              </w:rPr>
              <w:t xml:space="preserve">6</w:t>
            </w:r>
          </w:p>
        </w:tc>
        <w:tc>
          <w:tcPr>
            <w:tcW w:type="dxa" w:w="7246"/>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Top three opportunity areas + remaining questions</w:t>
            </w:r>
          </w:p>
        </w:tc>
        <w:tc>
          <w:tcPr>
            <w:tcW w:type="dxa" w:w="1600"/>
            <w:tcBorders>
              <w:top w:val="single" w:color="C9D5CE" w:sz="4"/>
              <w:left w:val="single" w:color="C9D5CE" w:sz="4"/>
              <w:bottom w:val="single" w:color="C9D5CE" w:sz="4"/>
              <w:right w:val="single" w:color="C9D5CE" w:sz="4"/>
            </w:tcBorders>
            <w:shd w:fill="FFFFFF" w:color="auto" w:val="clear"/>
            <w:tcMar>
              <w:top w:type="dxa" w:w="80"/>
              <w:left w:type="dxa" w:w="120"/>
              <w:bottom w:type="dxa" w:w="80"/>
              <w:right w:type="dxa" w:w="120"/>
            </w:tcMar>
          </w:tcPr>
          <w:p>
            <w:r>
              <w:rPr>
                <w:rFonts w:ascii="Calibri" w:cs="Calibri" w:eastAsia="Calibri" w:hAnsi="Calibri"/>
                <w:b w:val="false"/>
                <w:bCs w:val="false"/>
                <w:sz w:val="20"/>
                <w:szCs w:val="20"/>
              </w:rPr>
              <w:t xml:space="preserve">[   ]</w:t>
            </w:r>
          </w:p>
        </w:tc>
      </w:tr>
    </w:tbl>
    <w:p>
      <w:pPr>
        <w:pStyle w:val="Heading2"/>
        <w:spacing w:after="100" w:before="200"/>
      </w:pPr>
      <w:r>
        <w:rPr>
          <w:rFonts w:ascii="Cambria" w:cs="Cambria" w:eastAsia="Cambria" w:hAnsi="Cambria"/>
          <w:b/>
          <w:bCs/>
          <w:color w:val="154B36"/>
          <w:sz w:val="24"/>
          <w:szCs w:val="24"/>
        </w:rPr>
        <w:t xml:space="preserve">Before you submit</w:t>
      </w:r>
    </w:p>
    <w:p>
      <w:pPr>
        <w:pStyle w:val="ListParagraph"/>
        <w:numPr>
          <w:ilvl w:val="0"/>
          <w:numId w:val="3"/>
        </w:numPr>
        <w:spacing w:after="80"/>
      </w:pPr>
      <w:r>
        <w:rPr>
          <w:rFonts w:ascii="Calibri" w:cs="Calibri" w:eastAsia="Calibri" w:hAnsi="Calibri"/>
          <w:sz w:val="22"/>
          <w:szCs w:val="22"/>
        </w:rPr>
        <w:t xml:space="preserve">Minimum evidence is in: at least 3 interviews from Segment A, plus 1 observation where reasonably possible.</w:t>
      </w:r>
    </w:p>
    <w:p>
      <w:pPr>
        <w:pStyle w:val="ListParagraph"/>
        <w:numPr>
          <w:ilvl w:val="0"/>
          <w:numId w:val="3"/>
        </w:numPr>
        <w:spacing w:after="80"/>
      </w:pPr>
      <w:r>
        <w:rPr>
          <w:rFonts w:ascii="Calibri" w:cs="Calibri" w:eastAsia="Calibri" w:hAnsi="Calibri"/>
          <w:sz w:val="22"/>
          <w:szCs w:val="22"/>
        </w:rPr>
        <w:t xml:space="preserve">Replace every orange dashed box in the deck with real evidence, then delete the “BEFORE PRESENTING” line in each slide’s speaker notes.</w:t>
      </w:r>
    </w:p>
    <w:p>
      <w:pPr>
        <w:pStyle w:val="ListParagraph"/>
        <w:numPr>
          <w:ilvl w:val="0"/>
          <w:numId w:val="3"/>
        </w:numPr>
        <w:spacing w:after="80"/>
      </w:pPr>
      <w:r>
        <w:rPr>
          <w:rFonts w:ascii="Calibri" w:cs="Calibri" w:eastAsia="Calibri" w:hAnsi="Calibri"/>
          <w:sz w:val="22"/>
          <w:szCs w:val="22"/>
        </w:rPr>
        <w:t xml:space="preserve">Keep this evidence pack — interview notes, the observation record and the evidence log — separate from the presentation; do not paste full transcripts into the slides.</w:t>
      </w:r>
    </w:p>
    <w:p>
      <w:pPr>
        <w:pStyle w:val="ListParagraph"/>
        <w:numPr>
          <w:ilvl w:val="0"/>
          <w:numId w:val="3"/>
        </w:numPr>
        <w:spacing w:after="80"/>
      </w:pPr>
      <w:r>
        <w:rPr>
          <w:rFonts w:ascii="Calibri" w:cs="Calibri" w:eastAsia="Calibri" w:hAnsi="Calibri"/>
          <w:sz w:val="22"/>
          <w:szCs w:val="22"/>
        </w:rPr>
        <w:t xml:space="preserve">Check the persona and journey map map today’s experience only: no app screens, no accounts, no mention of the NutriScore tool.</w:t>
      </w:r>
    </w:p>
    <w:p>
      <w:pPr>
        <w:pStyle w:val="ListParagraph"/>
        <w:numPr>
          <w:ilvl w:val="0"/>
          <w:numId w:val="3"/>
        </w:numPr>
        <w:spacing w:after="80"/>
      </w:pPr>
      <w:r>
        <w:rPr>
          <w:rFonts w:ascii="Calibri" w:cs="Calibri" w:eastAsia="Calibri" w:hAnsi="Calibri"/>
          <w:sz w:val="22"/>
          <w:szCs w:val="22"/>
        </w:rPr>
        <w:t xml:space="preserve">Check no slide holds a name, a diagnosis, or any other identifying or sensitive health detail.</w:t>
      </w:r>
    </w:p>
    <w:p>
      <w:pPr>
        <w:pStyle w:val="ListParagraph"/>
        <w:numPr>
          <w:ilvl w:val="0"/>
          <w:numId w:val="3"/>
        </w:numPr>
        <w:spacing w:after="80"/>
      </w:pPr>
      <w:r>
        <w:rPr>
          <w:rFonts w:ascii="Calibri" w:cs="Calibri" w:eastAsia="Calibri" w:hAnsi="Calibri"/>
          <w:sz w:val="22"/>
          <w:szCs w:val="22"/>
        </w:rPr>
        <w:t xml:space="preserve">Rename the exported file exactly as required: University_TeamName_Assignment3_ResearchPersonaJourney.pdf</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Research &amp; Evidence Pack</dc:title>
  <dc:creator>NUT-04</dc:creator>
  <cp:lastModifiedBy>Un-named</cp:lastModifiedBy>
  <cp:revision>1</cp:revision>
  <dcterms:created xsi:type="dcterms:W3CDTF">2026-10-01T11:46:39.680Z</dcterms:created>
  <dcterms:modified xsi:type="dcterms:W3CDTF">2026-10-01T11:46:39.680Z</dcterms:modified>
</cp:coreProperties>
</file>

<file path=docProps/custom.xml><?xml version="1.0" encoding="utf-8"?>
<Properties xmlns="http://schemas.openxmlformats.org/officeDocument/2006/custom-properties" xmlns:vt="http://schemas.openxmlformats.org/officeDocument/2006/docPropsVTypes"/>
</file>