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ind w:left="5" w:hanging="3"/>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2"/>
          <w:szCs w:val="22"/>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ind w:left="2"/>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2"/>
          <w:szCs w:val="22"/>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ind w:left="2" w:firstLine="13"/>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2"/>
          <w:szCs w:val="22"/>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rFonts w:ascii="Inter" w:hAnsi="Inter" w:eastAsia="Inter" w:cs="Inter"/>
          <w:color w:val="000000"/>
          <w:sz w:val="22"/>
          <w:szCs w:val="22"/>
        </w:rPr>
        <w:t xml:space="preserve">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proofErr w:type="spellStart"/>
      <w:proofErr w:type="spellEnd"/>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3"/>
        </w:numPr>
      </w:pPr>
      <w:r>
        <w:rPr>
          <w:rFonts w:ascii="Inter" w:hAnsi="Inter" w:eastAsia="Inter" w:cs="Inter"/>
          <w:color w:val="000000"/>
          <w:sz w:val="22"/>
          <w:szCs w:val="22"/>
        </w:rPr>
        <w:t xml:space="preserve">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b)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c)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11)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wrongful entry, or invasion of the right of private occupancy of premises a person occupies, when committed by or for the owner, landlord, or lessor; d) publication, in any manner, of material that slanders or libels a person or organization, or that disparages their goods, products, or services; or e)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3"/>
        </w:numPr>
      </w:pPr>
      <w:proofErr w:type="spellStart"/>
      <w:proofErr w:type="spellEnd"/>
      <w:r>
        <w:rPr>
          <w:rFonts w:ascii="Inter" w:hAnsi="Inter" w:eastAsia="Inter" w:cs="Inter"/>
          <w:color w:val="000000"/>
          <w:sz w:val="22"/>
          <w:szCs w:val="22"/>
        </w:rPr>
        <w:t xml:space="preserve">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3"/>
        </w:numPr>
      </w:pPr>
      <w:r>
        <w:rPr>
          <w:rFonts w:ascii="Inter" w:hAnsi="Inter" w:eastAsia="Inter" w:cs="Inter"/>
          <w:color w:val="000000"/>
          <w:sz w:val="22"/>
          <w:szCs w:val="22"/>
        </w:rPr>
        <w:t xml:space="preserve">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is maintained mainly to provide mobility to permanently mounted equipment or to perform a specialized task other than transporting persons or cargo; or b)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lastRenderedPageBreak/>
        <w:t xml:space="preserve">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4"/>
        </w:numPr>
      </w:pPr>
      <w:r>
        <w:rPr>
          <w:b/>
          <w:bCs/>
          <w:rFonts w:ascii="Inter" w:hAnsi="Inter" w:eastAsia="Inter" w:cs="Inter"/>
          <w:color w:val="000000"/>
          <w:sz w:val="22"/>
          <w:szCs w:val="22"/>
        </w:rPr>
        <w:t xml:space="preserve">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2"/>
          <w:numId w:val="9004"/>
        </w:numPr>
      </w:pP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3"/>
          <w:numId w:val="9004"/>
        </w:numPr>
      </w:pP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numPr>
          <w:ilvl w:val="1"/>
          <w:numId w:val="9005"/>
        </w:numPr>
      </w:pP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4"/>
          <w:numId w:val="9005"/>
        </w:numPr>
      </w:pP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rFonts w:ascii="Inter" w:hAnsi="Inter" w:eastAsia="Inter" w:cs="Inter"/>
          <w:color w:val="000000"/>
          <w:sz w:val="22"/>
          <w:szCs w:val="22"/>
        </w:rPr>
        <w:t xml:space="preserve">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performed on it. However, this exclusion does not apply to: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4320"/>
      </w:pPr>
      <w:r>
        <w:rPr>
          <w:rFonts w:ascii="Inter" w:hAnsi="Inter" w:eastAsia="Inter" w:cs="Inter"/>
          <w:color w:val="000000"/>
          <w:sz w:val="22"/>
          <w:szCs w:val="22"/>
        </w:rPr>
        <w:t xml:space="preserve">seven (7) or fewer consecutive days or (ii)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432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360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(30)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3)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3"/>
          <w:numId w:val="9007"/>
        </w:numPr>
      </w:pP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proofErr w:type="spellStart"/>
      <w:proofErr w:type="spellEnd"/>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360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proofErr w:type="spellStart"/>
      <w:proofErr w:type="spellEnd"/>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4"/>
          <w:numId w:val="9007"/>
        </w:numPr>
      </w:pP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5"/>
          <w:numId w:val="9007"/>
        </w:numPr>
      </w:pPr>
      <w:proofErr w:type="spellStart"/>
      <w:proofErr w:type="spellEnd"/>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7"/>
        </w:numPr>
      </w:pPr>
      <w:r>
        <w:rPr>
          <w:rFonts w:ascii="Inter" w:hAnsi="Inter" w:eastAsia="Inter" w:cs="Inter"/>
          <w:color w:val="000000"/>
          <w:sz w:val="22"/>
          <w:szCs w:val="22"/>
        </w:rPr>
        <w:t xml:space="preserve">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88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7"/>
        </w:numPr>
      </w:pPr>
      <w:r>
        <w:rPr>
          <w:rFonts w:ascii="Inter" w:hAnsi="Inter" w:eastAsia="Inter" w:cs="Inter"/>
          <w:color w:val="000000"/>
          <w:sz w:val="22"/>
          <w:szCs w:val="22"/>
        </w:rPr>
        <w:t xml:space="preserve">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5"/>
          <w:numId w:val="9007"/>
        </w:numPr>
      </w:pP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r>
        <w:rPr>
          <w:rFonts w:ascii="Inter" w:hAnsi="Inter" w:eastAsia="Inter" w:cs="Inter"/>
          <w:color w:val="000000"/>
          <w:sz w:val="22"/>
          <w:szCs w:val="22"/>
        </w:rPr>
        <w:t>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5)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