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80"/>
      </w:pPr>
    </w:p>
    <w:p>
      <w:pPr>
        <w:jc w:val="center"/>
      </w:pPr>
      <w:r>
        <w:rPr>
          <w:rFonts w:ascii="Arial" w:cs="Arial" w:eastAsia="Arial" w:hAnsi="Arial"/>
          <w:b/>
          <w:bCs/>
          <w:color w:val="FFFFFF"/>
          <w:sz w:val="52"/>
          <w:szCs w:val="52"/>
        </w:rPr>
        <w:t xml:space="preserve">PROJECT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3A5F" w:sz="1"/>
              <w:left w:val="single" w:color="1E3A5F" w:sz="1"/>
              <w:bottom w:val="single" w:color="1E3A5F" w:sz="1"/>
              <w:right w:val="single" w:color="1E3A5F" w:sz="1"/>
            </w:tcBorders>
            <w:shd w:fill="1E3A5F" w:val="clear"/>
            <w:tcMar>
              <w:top w:type="dxa" w:w="400"/>
              <w:left w:type="dxa" w:w="400"/>
              <w:bottom w:type="dxa" w:w="400"/>
              <w:right w:type="dxa" w:w="400"/>
            </w:tcMar>
          </w:tcPr>
          <w:p>
            <w:pPr>
              <w:jc w:val="center"/>
            </w:pPr>
            <w:r>
              <w:rPr>
                <w:rFonts w:ascii="Arial" w:cs="Arial" w:eastAsia="Arial" w:hAnsi="Arial"/>
                <w:b/>
                <w:bCs/>
                <w:color w:val="FFFFFF"/>
                <w:sz w:val="56"/>
                <w:szCs w:val="56"/>
              </w:rPr>
              <w:t xml:space="preserve">PROJECT REPORT</w:t>
            </w:r>
          </w:p>
          <w:p>
            <w:pPr>
              <w:spacing w:after="80"/>
            </w:pPr>
          </w:p>
          <w:p>
            <w:pPr>
              <w:jc w:val="center"/>
            </w:pPr>
            <w:r>
              <w:rPr>
                <w:rFonts w:ascii="Arial" w:cs="Arial" w:eastAsia="Arial" w:hAnsi="Arial"/>
                <w:color w:val="F0A500"/>
                <w:sz w:val="36"/>
                <w:szCs w:val="36"/>
              </w:rPr>
              <w:t xml:space="preserve">Customer Shopping Behavior Analysis</w:t>
            </w:r>
          </w:p>
        </w:tc>
      </w:tr>
    </w:tbl>
    <w:p>
      <w:pPr>
        <w:spacing w:after="4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0" w:val="clear"/>
            <w:tcMar>
              <w:top w:type="dxa" w:w="240"/>
              <w:left w:type="dxa" w:w="400"/>
              <w:bottom w:type="dxa" w:w="240"/>
              <w:right w:type="dxa" w:w="400"/>
            </w:tcMar>
          </w:tcPr>
          <w:p>
            <w:pPr>
              <w:jc w:val="center"/>
            </w:pPr>
            <w:r>
              <w:rPr>
                <w:rFonts w:ascii="Arial" w:cs="Arial" w:eastAsia="Arial" w:hAnsi="Arial"/>
                <w:b/>
                <w:bCs/>
                <w:color w:val="1E3A5F"/>
                <w:sz w:val="26"/>
                <w:szCs w:val="26"/>
              </w:rPr>
              <w:t xml:space="preserve">Retail &amp; E-Commerce Analytics</w:t>
            </w:r>
          </w:p>
          <w:p>
            <w:pPr>
              <w:spacing w:after="80"/>
            </w:pPr>
          </w:p>
          <w:p>
            <w:pPr>
              <w:jc w:val="center"/>
            </w:pPr>
            <w:r>
              <w:rPr>
                <w:rFonts w:ascii="Arial" w:cs="Arial" w:eastAsia="Arial" w:hAnsi="Arial"/>
                <w:color w:val="444444"/>
                <w:sz w:val="22"/>
                <w:szCs w:val="22"/>
              </w:rPr>
              <w:t xml:space="preserve">Dataset: 3,900 Customer Records | 18 Features</w:t>
            </w:r>
          </w:p>
          <w:p>
            <w:pPr>
              <w:spacing w:after="80"/>
            </w:pPr>
          </w:p>
          <w:p>
            <w:pPr>
              <w:jc w:val="center"/>
            </w:pPr>
            <w:r>
              <w:rPr>
                <w:rFonts w:ascii="Arial" w:cs="Arial" w:eastAsia="Arial" w:hAnsi="Arial"/>
                <w:color w:val="1A1A1A"/>
                <w:sz w:val="22"/>
                <w:szCs w:val="22"/>
              </w:rPr>
              <w:t xml:space="preserve">Prepared by: Data Analytics Team</w:t>
            </w:r>
          </w:p>
          <w:p>
            <w:pPr>
              <w:jc w:val="center"/>
            </w:pPr>
            <w:r>
              <w:rPr>
                <w:rFonts w:ascii="Arial" w:cs="Arial" w:eastAsia="Arial" w:hAnsi="Arial"/>
                <w:color w:val="1A1A1A"/>
                <w:sz w:val="22"/>
                <w:szCs w:val="22"/>
              </w:rPr>
              <w:t xml:space="preserve">Date: June 2025</w:t>
            </w:r>
          </w:p>
        </w:tc>
      </w:tr>
    </w:tbl>
    <w:p>
      <w:pPr>
        <w:spacing w:after="2400"/>
      </w:pPr>
    </w:p>
    <w:p>
      <w:pPr>
        <w:jc w:val="center"/>
      </w:pPr>
      <w:r>
        <w:rPr>
          <w:rFonts w:ascii="Arial" w:cs="Arial" w:eastAsia="Arial" w:hAnsi="Arial"/>
          <w:color w:val="444444"/>
          <w:sz w:val="18"/>
          <w:szCs w:val="18"/>
        </w:rPr>
        <w:t xml:space="preserve">CONFIDENTIAL | FOR INTERNAL USE ONLY</w:t>
      </w:r>
    </w:p>
    <w:p>
      <w:r>
        <w:br w:type="page"/>
      </w:r>
    </w:p>
    <w:p>
      <w:pPr>
        <w:sectPr>
          <w:pgSz w:w="11906" w:h="16838" w:orient="portrait"/>
          <w:pgMar w:top="1440" w:right="1440" w:bottom="1440" w:left="1440" w:header="708" w:footer="708" w:gutter="0"/>
          <w:pgNumType/>
          <w:docGrid w:linePitch="360"/>
        </w:sectPr>
      </w:pPr>
    </w:p>
    <w:p>
      <w:pPr>
        <w:pStyle w:val="Heading1"/>
        <w:spacing w:after="160" w:before="320"/>
      </w:pPr>
      <w:r>
        <w:rPr>
          <w:rFonts w:ascii="Arial" w:cs="Arial" w:eastAsia="Arial" w:hAnsi="Arial"/>
          <w:b/>
          <w:bCs/>
          <w:color w:val="1E3A5F"/>
          <w:sz w:val="32"/>
          <w:szCs w:val="32"/>
        </w:rPr>
        <w:t xml:space="preserve">1. Executive Summary</w:t>
      </w:r>
    </w:p>
    <w:p>
      <w:pPr>
        <w:spacing w:after="120"/>
      </w:pPr>
      <w:r>
        <w:rPr>
          <w:rFonts w:ascii="Arial" w:cs="Arial" w:eastAsia="Arial" w:hAnsi="Arial"/>
          <w:color w:val="1A1A1A"/>
          <w:sz w:val="22"/>
          <w:szCs w:val="22"/>
        </w:rPr>
        <w:t xml:space="preserve">This report presents a comprehensive analysis of customer shopping behavior based on a dataset comprising 3,900 customer records across 18 behavioral and demographic attributes. The dataset was sourced from a retail/e-commerce context and analyzed using Python (Pandas) within a Jupyter Notebook environment, with results stored in a PostgreSQL database for further querying and dashboard development in Microsoft Power BI.</w:t>
      </w:r>
    </w:p>
    <w:p>
      <w:pPr>
        <w:spacing w:after="120"/>
      </w:pPr>
    </w:p>
    <w:p>
      <w:pPr>
        <w:spacing w:after="120"/>
      </w:pPr>
      <w:r>
        <w:rPr>
          <w:rFonts w:ascii="Arial" w:cs="Arial" w:eastAsia="Arial" w:hAnsi="Arial"/>
          <w:color w:val="1A1A1A"/>
          <w:sz w:val="22"/>
          <w:szCs w:val="22"/>
        </w:rPr>
        <w:t xml:space="preserve">Key findings indicate that clothing dominates product category sales, the customer base skews toward older demographics (55-70 years), purchasing frequency is broadly distributed, and discount strategies show minimal impact on average order value. The analysis pipeline included data cleaning, feature engineering, and database integration.</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2E6DA4" w:sz="1"/>
              <w:left w:val="single" w:color="2E6DA4" w:sz="1"/>
              <w:bottom w:val="single" w:color="2E6DA4" w:sz="1"/>
              <w:right w:val="single" w:color="2E6DA4" w:sz="1"/>
            </w:tcBorders>
            <w:shd w:fill="D6E4F0" w:val="clear"/>
            <w:tcMar>
              <w:top w:type="dxa" w:w="120"/>
              <w:left w:type="dxa" w:w="140"/>
              <w:bottom w:type="dxa" w:w="120"/>
              <w:right w:type="dxa" w:w="140"/>
            </w:tcMar>
            <w:vAlign w:val="center"/>
          </w:tcPr>
          <w:p>
            <w:pPr>
              <w:jc w:val="center"/>
            </w:pPr>
            <w:r>
              <w:rPr>
                <w:rFonts w:ascii="Arial" w:cs="Arial" w:eastAsia="Arial" w:hAnsi="Arial"/>
                <w:b/>
                <w:bCs/>
                <w:color w:val="1E3A5F"/>
                <w:sz w:val="36"/>
                <w:szCs w:val="36"/>
              </w:rPr>
              <w:t xml:space="preserve">3,900</w:t>
            </w:r>
          </w:p>
          <w:p>
            <w:pPr>
              <w:jc w:val="center"/>
            </w:pPr>
            <w:r>
              <w:rPr>
                <w:rFonts w:ascii="Arial" w:cs="Arial" w:eastAsia="Arial" w:hAnsi="Arial"/>
                <w:b/>
                <w:bCs/>
                <w:color w:val="2E6DA4"/>
                <w:sz w:val="18"/>
                <w:szCs w:val="18"/>
              </w:rPr>
              <w:t xml:space="preserve">Total Customers</w:t>
            </w:r>
          </w:p>
          <w:p>
            <w:pPr>
              <w:jc w:val="center"/>
            </w:pPr>
            <w:r>
              <w:rPr>
                <w:rFonts w:ascii="Arial" w:cs="Arial" w:eastAsia="Arial" w:hAnsi="Arial"/>
                <w:color w:val="444444"/>
                <w:sz w:val="16"/>
                <w:szCs w:val="16"/>
              </w:rPr>
              <w:t xml:space="preserve">Customer Records</w:t>
            </w:r>
          </w:p>
        </w:tc>
        <w:tc>
          <w:tcPr>
            <w:tcW w:type="dxa" w:w="2256"/>
            <w:tcBorders>
              <w:top w:val="single" w:color="2E6DA4" w:sz="1"/>
              <w:left w:val="single" w:color="2E6DA4" w:sz="1"/>
              <w:bottom w:val="single" w:color="2E6DA4" w:sz="1"/>
              <w:right w:val="single" w:color="2E6DA4" w:sz="1"/>
            </w:tcBorders>
            <w:shd w:fill="D6E4F0" w:val="clear"/>
            <w:tcMar>
              <w:top w:type="dxa" w:w="120"/>
              <w:left w:type="dxa" w:w="140"/>
              <w:bottom w:type="dxa" w:w="120"/>
              <w:right w:type="dxa" w:w="140"/>
            </w:tcMar>
            <w:vAlign w:val="center"/>
          </w:tcPr>
          <w:p>
            <w:pPr>
              <w:jc w:val="center"/>
            </w:pPr>
            <w:r>
              <w:rPr>
                <w:rFonts w:ascii="Arial" w:cs="Arial" w:eastAsia="Arial" w:hAnsi="Arial"/>
                <w:b/>
                <w:bCs/>
                <w:color w:val="1E3A5F"/>
                <w:sz w:val="36"/>
                <w:szCs w:val="36"/>
              </w:rPr>
              <w:t xml:space="preserve">$59.76</w:t>
            </w:r>
          </w:p>
          <w:p>
            <w:pPr>
              <w:jc w:val="center"/>
            </w:pPr>
            <w:r>
              <w:rPr>
                <w:rFonts w:ascii="Arial" w:cs="Arial" w:eastAsia="Arial" w:hAnsi="Arial"/>
                <w:b/>
                <w:bCs/>
                <w:color w:val="2E6DA4"/>
                <w:sz w:val="18"/>
                <w:szCs w:val="18"/>
              </w:rPr>
              <w:t xml:space="preserve">Avg. Purchase Value</w:t>
            </w:r>
          </w:p>
          <w:p>
            <w:pPr>
              <w:jc w:val="center"/>
            </w:pPr>
            <w:r>
              <w:rPr>
                <w:rFonts w:ascii="Arial" w:cs="Arial" w:eastAsia="Arial" w:hAnsi="Arial"/>
                <w:color w:val="444444"/>
                <w:sz w:val="16"/>
                <w:szCs w:val="16"/>
              </w:rPr>
              <w:t xml:space="preserve">Per Transaction (USD)</w:t>
            </w:r>
          </w:p>
        </w:tc>
        <w:tc>
          <w:tcPr>
            <w:tcW w:type="dxa" w:w="2256"/>
            <w:tcBorders>
              <w:top w:val="single" w:color="2E6DA4" w:sz="1"/>
              <w:left w:val="single" w:color="2E6DA4" w:sz="1"/>
              <w:bottom w:val="single" w:color="2E6DA4" w:sz="1"/>
              <w:right w:val="single" w:color="2E6DA4" w:sz="1"/>
            </w:tcBorders>
            <w:shd w:fill="D6E4F0" w:val="clear"/>
            <w:tcMar>
              <w:top w:type="dxa" w:w="120"/>
              <w:left w:type="dxa" w:w="140"/>
              <w:bottom w:type="dxa" w:w="120"/>
              <w:right w:type="dxa" w:w="140"/>
            </w:tcMar>
            <w:vAlign w:val="center"/>
          </w:tcPr>
          <w:p>
            <w:pPr>
              <w:jc w:val="center"/>
            </w:pPr>
            <w:r>
              <w:rPr>
                <w:rFonts w:ascii="Arial" w:cs="Arial" w:eastAsia="Arial" w:hAnsi="Arial"/>
                <w:b/>
                <w:bCs/>
                <w:color w:val="1E3A5F"/>
                <w:sz w:val="36"/>
                <w:szCs w:val="36"/>
              </w:rPr>
              <w:t xml:space="preserve">18</w:t>
            </w:r>
          </w:p>
          <w:p>
            <w:pPr>
              <w:jc w:val="center"/>
            </w:pPr>
            <w:r>
              <w:rPr>
                <w:rFonts w:ascii="Arial" w:cs="Arial" w:eastAsia="Arial" w:hAnsi="Arial"/>
                <w:b/>
                <w:bCs/>
                <w:color w:val="2E6DA4"/>
                <w:sz w:val="18"/>
                <w:szCs w:val="18"/>
              </w:rPr>
              <w:t xml:space="preserve">Data Features</w:t>
            </w:r>
          </w:p>
          <w:p>
            <w:pPr>
              <w:jc w:val="center"/>
            </w:pPr>
            <w:r>
              <w:rPr>
                <w:rFonts w:ascii="Arial" w:cs="Arial" w:eastAsia="Arial" w:hAnsi="Arial"/>
                <w:color w:val="444444"/>
                <w:sz w:val="16"/>
                <w:szCs w:val="16"/>
              </w:rPr>
              <w:t xml:space="preserve">Attributes Analyzed</w:t>
            </w:r>
          </w:p>
        </w:tc>
        <w:tc>
          <w:tcPr>
            <w:tcW w:type="dxa" w:w="2256"/>
            <w:tcBorders>
              <w:top w:val="single" w:color="2E6DA4" w:sz="1"/>
              <w:left w:val="single" w:color="2E6DA4" w:sz="1"/>
              <w:bottom w:val="single" w:color="2E6DA4" w:sz="1"/>
              <w:right w:val="single" w:color="2E6DA4" w:sz="1"/>
            </w:tcBorders>
            <w:shd w:fill="D6E4F0" w:val="clear"/>
            <w:tcMar>
              <w:top w:type="dxa" w:w="120"/>
              <w:left w:type="dxa" w:w="140"/>
              <w:bottom w:type="dxa" w:w="120"/>
              <w:right w:type="dxa" w:w="140"/>
            </w:tcMar>
            <w:vAlign w:val="center"/>
          </w:tcPr>
          <w:p>
            <w:pPr>
              <w:jc w:val="center"/>
            </w:pPr>
            <w:r>
              <w:rPr>
                <w:rFonts w:ascii="Arial" w:cs="Arial" w:eastAsia="Arial" w:hAnsi="Arial"/>
                <w:b/>
                <w:bCs/>
                <w:color w:val="1E3A5F"/>
                <w:sz w:val="36"/>
                <w:szCs w:val="36"/>
              </w:rPr>
              <w:t xml:space="preserve">4</w:t>
            </w:r>
          </w:p>
          <w:p>
            <w:pPr>
              <w:jc w:val="center"/>
            </w:pPr>
            <w:r>
              <w:rPr>
                <w:rFonts w:ascii="Arial" w:cs="Arial" w:eastAsia="Arial" w:hAnsi="Arial"/>
                <w:b/>
                <w:bCs/>
                <w:color w:val="2E6DA4"/>
                <w:sz w:val="18"/>
                <w:szCs w:val="18"/>
              </w:rPr>
              <w:t xml:space="preserve">Product Categories</w:t>
            </w:r>
          </w:p>
          <w:p>
            <w:pPr>
              <w:jc w:val="center"/>
            </w:pPr>
            <w:r>
              <w:rPr>
                <w:rFonts w:ascii="Arial" w:cs="Arial" w:eastAsia="Arial" w:hAnsi="Arial"/>
                <w:color w:val="444444"/>
                <w:sz w:val="16"/>
                <w:szCs w:val="16"/>
              </w:rPr>
              <w:t xml:space="preserve">Clothing, Accessories, Footwear, Outerwear</w:t>
            </w:r>
          </w:p>
        </w:tc>
      </w:tr>
    </w:tbl>
    <w:p>
      <w:pPr>
        <w:spacing w:after="240"/>
      </w:pPr>
    </w:p>
    <w:p>
      <w:r>
        <w:br w:type="page"/>
      </w:r>
    </w:p>
    <w:p>
      <w:pPr>
        <w:pStyle w:val="Heading1"/>
        <w:spacing w:after="160" w:before="320"/>
      </w:pPr>
      <w:r>
        <w:rPr>
          <w:rFonts w:ascii="Arial" w:cs="Arial" w:eastAsia="Arial" w:hAnsi="Arial"/>
          <w:b/>
          <w:bCs/>
          <w:color w:val="1E3A5F"/>
          <w:sz w:val="32"/>
          <w:szCs w:val="32"/>
        </w:rPr>
        <w:t xml:space="preserve">2. Project Overview</w:t>
      </w:r>
    </w:p>
    <w:p>
      <w:pPr>
        <w:pStyle w:val="Heading2"/>
        <w:spacing w:after="120" w:before="240"/>
      </w:pPr>
      <w:r>
        <w:rPr>
          <w:rFonts w:ascii="Arial" w:cs="Arial" w:eastAsia="Arial" w:hAnsi="Arial"/>
          <w:b/>
          <w:bCs/>
          <w:color w:val="2E6DA4"/>
          <w:sz w:val="26"/>
          <w:szCs w:val="26"/>
        </w:rPr>
        <w:t xml:space="preserve">2.1 Objectives</w:t>
      </w:r>
    </w:p>
    <w:p>
      <w:pPr>
        <w:spacing w:after="120"/>
      </w:pPr>
      <w:r>
        <w:rPr>
          <w:rFonts w:ascii="Arial" w:cs="Arial" w:eastAsia="Arial" w:hAnsi="Arial"/>
          <w:color w:val="1A1A1A"/>
          <w:sz w:val="22"/>
          <w:szCs w:val="22"/>
        </w:rPr>
        <w:t xml:space="preserve">The primary objectives of this project are:</w:t>
      </w:r>
    </w:p>
    <w:p>
      <w:pPr>
        <w:pStyle w:val="ListParagraph"/>
        <w:numPr>
          <w:ilvl w:val="0"/>
          <w:numId w:val="2"/>
        </w:numPr>
        <w:spacing w:after="80"/>
      </w:pPr>
      <w:r>
        <w:rPr>
          <w:rFonts w:ascii="Arial" w:cs="Arial" w:eastAsia="Arial" w:hAnsi="Arial"/>
          <w:color w:val="1A1A1A"/>
          <w:sz w:val="22"/>
          <w:szCs w:val="22"/>
        </w:rPr>
        <w:t xml:space="preserve">Understand customer demographics and purchasing patterns across product categories</w:t>
      </w:r>
    </w:p>
    <w:p>
      <w:pPr>
        <w:pStyle w:val="ListParagraph"/>
        <w:numPr>
          <w:ilvl w:val="0"/>
          <w:numId w:val="2"/>
        </w:numPr>
        <w:spacing w:after="80"/>
      </w:pPr>
      <w:r>
        <w:rPr>
          <w:rFonts w:ascii="Arial" w:cs="Arial" w:eastAsia="Arial" w:hAnsi="Arial"/>
          <w:color w:val="1A1A1A"/>
          <w:sz w:val="22"/>
          <w:szCs w:val="22"/>
        </w:rPr>
        <w:t xml:space="preserve">Identify trends in purchase frequency, seasonal behavior, and payment preferences</w:t>
      </w:r>
    </w:p>
    <w:p>
      <w:pPr>
        <w:pStyle w:val="ListParagraph"/>
        <w:numPr>
          <w:ilvl w:val="0"/>
          <w:numId w:val="2"/>
        </w:numPr>
        <w:spacing w:after="80"/>
      </w:pPr>
      <w:r>
        <w:rPr>
          <w:rFonts w:ascii="Arial" w:cs="Arial" w:eastAsia="Arial" w:hAnsi="Arial"/>
          <w:color w:val="1A1A1A"/>
          <w:sz w:val="22"/>
          <w:szCs w:val="22"/>
        </w:rPr>
        <w:t xml:space="preserve">Perform data cleaning and feature engineering to prepare data for downstream analytics</w:t>
      </w:r>
    </w:p>
    <w:p>
      <w:pPr>
        <w:pStyle w:val="ListParagraph"/>
        <w:numPr>
          <w:ilvl w:val="0"/>
          <w:numId w:val="2"/>
        </w:numPr>
        <w:spacing w:after="80"/>
      </w:pPr>
      <w:r>
        <w:rPr>
          <w:rFonts w:ascii="Arial" w:cs="Arial" w:eastAsia="Arial" w:hAnsi="Arial"/>
          <w:color w:val="1A1A1A"/>
          <w:sz w:val="22"/>
          <w:szCs w:val="22"/>
        </w:rPr>
        <w:t xml:space="preserve">Integrate cleaned data into a PostgreSQL database for scalable querying</w:t>
      </w:r>
    </w:p>
    <w:p>
      <w:pPr>
        <w:pStyle w:val="ListParagraph"/>
        <w:numPr>
          <w:ilvl w:val="0"/>
          <w:numId w:val="2"/>
        </w:numPr>
        <w:spacing w:after="80"/>
      </w:pPr>
      <w:r>
        <w:rPr>
          <w:rFonts w:ascii="Arial" w:cs="Arial" w:eastAsia="Arial" w:hAnsi="Arial"/>
          <w:color w:val="1A1A1A"/>
          <w:sz w:val="22"/>
          <w:szCs w:val="22"/>
        </w:rPr>
        <w:t xml:space="preserve">Develop a Power BI dashboard to visualize key business metrics</w:t>
      </w:r>
    </w:p>
    <w:p>
      <w:pPr>
        <w:spacing w:after="160"/>
      </w:pPr>
    </w:p>
    <w:p>
      <w:pPr>
        <w:pStyle w:val="Heading2"/>
        <w:spacing w:after="120" w:before="240"/>
      </w:pPr>
      <w:r>
        <w:rPr>
          <w:rFonts w:ascii="Arial" w:cs="Arial" w:eastAsia="Arial" w:hAnsi="Arial"/>
          <w:b/>
          <w:bCs/>
          <w:color w:val="2E6DA4"/>
          <w:sz w:val="26"/>
          <w:szCs w:val="26"/>
        </w:rPr>
        <w:t xml:space="preserve">2.2 Dataset Overview</w:t>
      </w:r>
    </w:p>
    <w:p>
      <w:pPr>
        <w:spacing w:after="120"/>
      </w:pPr>
      <w:r>
        <w:rPr>
          <w:rFonts w:ascii="Arial" w:cs="Arial" w:eastAsia="Arial" w:hAnsi="Arial"/>
          <w:color w:val="1A1A1A"/>
          <w:sz w:val="22"/>
          <w:szCs w:val="22"/>
        </w:rPr>
        <w:t xml:space="preserve">The dataset, customer_shopping_behavior.csv, contains 3,900 rows and 18 columns. It covers customer demographics, item-level purchase data, shipping preferences, promotional activities, review ratings, and purchase frequency. The table below summarizes the key features: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626"/>
      </w:tblGrid>
      <w:tr>
        <w:trPr>
          <w:tblHeader/>
        </w:trPr>
        <w:tc>
          <w:tcPr>
            <w:tcW w:type="dxa" w:w="2800"/>
            <w:tcBorders>
              <w:top w:val="single" w:color="2E6DA4" w:sz="1"/>
              <w:left w:val="single" w:color="2E6DA4" w:sz="1"/>
              <w:bottom w:val="single" w:color="2E6DA4" w:sz="1"/>
              <w:right w:val="single" w:color="2E6DA4"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Feature</w:t>
            </w:r>
          </w:p>
        </w:tc>
        <w:tc>
          <w:tcPr>
            <w:tcW w:type="dxa" w:w="1600"/>
            <w:tcBorders>
              <w:top w:val="single" w:color="2E6DA4" w:sz="1"/>
              <w:left w:val="single" w:color="2E6DA4" w:sz="1"/>
              <w:bottom w:val="single" w:color="2E6DA4" w:sz="1"/>
              <w:right w:val="single" w:color="2E6DA4"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Type</w:t>
            </w:r>
          </w:p>
        </w:tc>
        <w:tc>
          <w:tcPr>
            <w:tcW w:type="dxa" w:w="4626"/>
            <w:tcBorders>
              <w:top w:val="single" w:color="2E6DA4" w:sz="1"/>
              <w:left w:val="single" w:color="2E6DA4" w:sz="1"/>
              <w:bottom w:val="single" w:color="2E6DA4" w:sz="1"/>
              <w:right w:val="single" w:color="2E6DA4"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Customer 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Integer</w:t>
            </w:r>
          </w:p>
        </w:tc>
        <w:tc>
          <w:tcPr>
            <w:tcW w:type="dxa" w:w="4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Unique identifier for each customer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Age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Integer</w:t>
            </w:r>
          </w:p>
        </w:tc>
        <w:tc>
          <w:tcPr>
            <w:tcW w:type="dxa" w:w="46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Customer age (range: 18–70)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Gender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Categorical</w:t>
            </w:r>
          </w:p>
        </w:tc>
        <w:tc>
          <w:tcPr>
            <w:tcW w:type="dxa" w:w="4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Male / Female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Item Purchased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Categorical</w:t>
            </w:r>
          </w:p>
        </w:tc>
        <w:tc>
          <w:tcPr>
            <w:tcW w:type="dxa" w:w="46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Name of product purchased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Category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Categorical</w:t>
            </w:r>
          </w:p>
        </w:tc>
        <w:tc>
          <w:tcPr>
            <w:tcW w:type="dxa" w:w="4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Clothing, Accessories, Footwear, Outerwear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Purchase Amount (USD)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Float</w:t>
            </w:r>
          </w:p>
        </w:tc>
        <w:tc>
          <w:tcPr>
            <w:tcW w:type="dxa" w:w="46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Transaction value in US dollars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Location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Categorical</w:t>
            </w:r>
          </w:p>
        </w:tc>
        <w:tc>
          <w:tcPr>
            <w:tcW w:type="dxa" w:w="4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Customer's state/location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Season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Categorical</w:t>
            </w:r>
          </w:p>
        </w:tc>
        <w:tc>
          <w:tcPr>
            <w:tcW w:type="dxa" w:w="46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Spring, Summer, Fall, Winter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Review Rating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Float</w:t>
            </w:r>
          </w:p>
        </w:tc>
        <w:tc>
          <w:tcPr>
            <w:tcW w:type="dxa" w:w="4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Customer rating (2.5–5.0), had 37 nulls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Subscription Status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Categorical</w:t>
            </w:r>
          </w:p>
        </w:tc>
        <w:tc>
          <w:tcPr>
            <w:tcW w:type="dxa" w:w="46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Yes / No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Shipping Type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Categorical</w:t>
            </w:r>
          </w:p>
        </w:tc>
        <w:tc>
          <w:tcPr>
            <w:tcW w:type="dxa" w:w="4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Free, Standard, Express, etc.</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Discount Applied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Categorical</w:t>
            </w:r>
          </w:p>
        </w:tc>
        <w:tc>
          <w:tcPr>
            <w:tcW w:type="dxa" w:w="46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Yes / No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Promo Code Used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Categorical</w:t>
            </w:r>
          </w:p>
        </w:tc>
        <w:tc>
          <w:tcPr>
            <w:tcW w:type="dxa" w:w="4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Yes / No (identical to Discount Applied)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Previous Purchases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Integer</w:t>
            </w:r>
          </w:p>
        </w:tc>
        <w:tc>
          <w:tcPr>
            <w:tcW w:type="dxa" w:w="46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Number of prior purchases (1–50)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Payment Method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Categorical</w:t>
            </w:r>
          </w:p>
        </w:tc>
        <w:tc>
          <w:tcPr>
            <w:tcW w:type="dxa" w:w="4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PayPal, Credit Card, Cash, Debit, Venmo, Bank</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Frequency of Purchases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Categorical</w:t>
            </w:r>
          </w:p>
        </w:tc>
        <w:tc>
          <w:tcPr>
            <w:tcW w:type="dxa" w:w="46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Weekly, Fortnightly, Monthly, etc.</w:t>
            </w:r>
          </w:p>
        </w:tc>
      </w:tr>
    </w:tbl>
    <w:p>
      <w:pPr>
        <w:spacing w:after="240"/>
      </w:pPr>
    </w:p>
    <w:p>
      <w:pPr>
        <w:pStyle w:val="Heading2"/>
        <w:spacing w:after="120" w:before="240"/>
      </w:pPr>
      <w:r>
        <w:rPr>
          <w:rFonts w:ascii="Arial" w:cs="Arial" w:eastAsia="Arial" w:hAnsi="Arial"/>
          <w:b/>
          <w:bCs/>
          <w:color w:val="2E6DA4"/>
          <w:sz w:val="26"/>
          <w:szCs w:val="26"/>
        </w:rPr>
        <w:t xml:space="preserve">2.3 Tools &amp; Technologies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2E6DA4" w:sz="1"/>
              <w:left w:val="single" w:color="2E6DA4" w:sz="1"/>
              <w:bottom w:val="single" w:color="2E6DA4" w:sz="1"/>
              <w:right w:val="single" w:color="2E6DA4"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Tool / Technology</w:t>
            </w:r>
          </w:p>
        </w:tc>
        <w:tc>
          <w:tcPr>
            <w:tcW w:type="dxa" w:w="5026"/>
            <w:tcBorders>
              <w:top w:val="single" w:color="2E6DA4" w:sz="1"/>
              <w:left w:val="single" w:color="2E6DA4" w:sz="1"/>
              <w:bottom w:val="single" w:color="2E6DA4" w:sz="1"/>
              <w:right w:val="single" w:color="2E6DA4"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Purpose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Python 3 (Pandas, NumPy)</w:t>
            </w:r>
          </w:p>
        </w:tc>
        <w:tc>
          <w:tcPr>
            <w:tcW w:type="dxa" w:w="5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Data loading, cleaning, feature engineering</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Jupyter Notebook</w:t>
            </w:r>
          </w:p>
        </w:tc>
        <w:tc>
          <w:tcPr>
            <w:tcW w:type="dxa" w:w="50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Interactive exploratory data analysis (EDA)</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PostgreSQL</w:t>
            </w:r>
          </w:p>
        </w:tc>
        <w:tc>
          <w:tcPr>
            <w:tcW w:type="dxa" w:w="5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Relational database for structured data storage</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SQLAlchemy + psycopg2</w:t>
            </w:r>
          </w:p>
        </w:tc>
        <w:tc>
          <w:tcPr>
            <w:tcW w:type="dxa" w:w="50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Python-to-PostgreSQL ORM connection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Microsoft Power BI</w:t>
            </w:r>
          </w:p>
        </w:tc>
        <w:tc>
          <w:tcPr>
            <w:tcW w:type="dxa" w:w="5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Interactive dashboard and data visualization</w:t>
            </w:r>
          </w:p>
        </w:tc>
      </w:tr>
    </w:tbl>
    <w:p>
      <w:pPr>
        <w:spacing w:after="240"/>
      </w:pPr>
    </w:p>
    <w:p>
      <w:r>
        <w:br w:type="page"/>
      </w:r>
    </w:p>
    <w:p>
      <w:pPr>
        <w:pStyle w:val="Heading1"/>
        <w:spacing w:after="160" w:before="320"/>
      </w:pPr>
      <w:r>
        <w:rPr>
          <w:rFonts w:ascii="Arial" w:cs="Arial" w:eastAsia="Arial" w:hAnsi="Arial"/>
          <w:b/>
          <w:bCs/>
          <w:color w:val="1E3A5F"/>
          <w:sz w:val="32"/>
          <w:szCs w:val="32"/>
        </w:rPr>
        <w:t xml:space="preserve">3. Data Pipeline &amp; Preprocessing</w:t>
      </w:r>
    </w:p>
    <w:p>
      <w:pPr>
        <w:pStyle w:val="Heading2"/>
        <w:spacing w:after="120" w:before="240"/>
      </w:pPr>
      <w:r>
        <w:rPr>
          <w:rFonts w:ascii="Arial" w:cs="Arial" w:eastAsia="Arial" w:hAnsi="Arial"/>
          <w:b/>
          <w:bCs/>
          <w:color w:val="2E6DA4"/>
          <w:sz w:val="26"/>
          <w:szCs w:val="26"/>
        </w:rPr>
        <w:t xml:space="preserve">3.1 Data Loading</w:t>
      </w:r>
    </w:p>
    <w:p>
      <w:pPr>
        <w:spacing w:after="120"/>
      </w:pPr>
      <w:r>
        <w:rPr>
          <w:rFonts w:ascii="Arial" w:cs="Arial" w:eastAsia="Arial" w:hAnsi="Arial"/>
          <w:color w:val="1A1A1A"/>
          <w:sz w:val="22"/>
          <w:szCs w:val="22"/>
        </w:rPr>
        <w:t xml:space="preserve">The dataset was loaded into a Pandas DataFrame using pd.read_csv(). Initial inspection confirmed 3,900 rows and 18 columns with mixed data types including integers, floats, and categorical strings.</w:t>
      </w:r>
    </w:p>
    <w:p>
      <w:pPr>
        <w:spacing w:after="120"/>
      </w:pPr>
    </w:p>
    <w:p>
      <w:pPr>
        <w:pStyle w:val="Heading2"/>
        <w:spacing w:after="120" w:before="240"/>
      </w:pPr>
      <w:r>
        <w:rPr>
          <w:rFonts w:ascii="Arial" w:cs="Arial" w:eastAsia="Arial" w:hAnsi="Arial"/>
          <w:b/>
          <w:bCs/>
          <w:color w:val="2E6DA4"/>
          <w:sz w:val="26"/>
          <w:szCs w:val="26"/>
        </w:rPr>
        <w:t xml:space="preserve">3.2 Missing Value Handling</w:t>
      </w:r>
    </w:p>
    <w:p>
      <w:pPr>
        <w:spacing w:after="120"/>
      </w:pPr>
      <w:r>
        <w:rPr>
          <w:rFonts w:ascii="Arial" w:cs="Arial" w:eastAsia="Arial" w:hAnsi="Arial"/>
          <w:color w:val="1A1A1A"/>
          <w:sz w:val="22"/>
          <w:szCs w:val="22"/>
        </w:rPr>
        <w:t xml:space="preserve">A null value check revealed 37 missing entries exclusively in the Review Rating column (approximately 0.95% of records). Missing values were imputed using the median Review Rating grouped by product Category, preserving category-level rating distributions rather than applying a global median.</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Imputation Strategy</w:t>
            </w:r>
          </w:p>
        </w:tc>
        <w:tc>
          <w:tcPr>
            <w:tcW w:type="dxa" w:w="6026"/>
            <w:tcBorders>
              <w:top w:val="single" w:color="2E6DA4" w:sz="1"/>
              <w:left w:val="single" w:color="2E6DA4" w:sz="1"/>
              <w:bottom w:val="single" w:color="2E6DA4" w:sz="1"/>
              <w:right w:val="single" w:color="2E6DA4" w:sz="1"/>
            </w:tcBorders>
            <w:shd w:fill="D6E4F0" w:val="clear"/>
            <w:tcMar>
              <w:top w:type="dxa" w:w="80"/>
              <w:left w:type="dxa" w:w="140"/>
              <w:bottom w:type="dxa" w:w="80"/>
              <w:right w:type="dxa" w:w="140"/>
            </w:tcMar>
          </w:tcPr>
          <w:p>
            <w:r>
              <w:rPr>
                <w:rFonts w:ascii="Arial" w:cs="Arial" w:eastAsia="Arial" w:hAnsi="Arial"/>
                <w:color w:val="1A1A1A"/>
                <w:sz w:val="20"/>
                <w:szCs w:val="20"/>
              </w:rPr>
              <w:t xml:space="preserve">df['Review Rating'] = df.groupby('Category')['Review Rating'].transform(lambda x: x.fillna(x.median()))</w:t>
            </w:r>
          </w:p>
        </w:tc>
      </w:tr>
    </w:tbl>
    <w:p>
      <w:pPr>
        <w:spacing w:after="200"/>
      </w:pPr>
    </w:p>
    <w:p>
      <w:pPr>
        <w:pStyle w:val="Heading2"/>
        <w:spacing w:after="120" w:before="240"/>
      </w:pPr>
      <w:r>
        <w:rPr>
          <w:rFonts w:ascii="Arial" w:cs="Arial" w:eastAsia="Arial" w:hAnsi="Arial"/>
          <w:b/>
          <w:bCs/>
          <w:color w:val="2E6DA4"/>
          <w:sz w:val="26"/>
          <w:szCs w:val="26"/>
        </w:rPr>
        <w:t xml:space="preserve">3.3 Column Standardization</w:t>
      </w:r>
    </w:p>
    <w:p>
      <w:pPr>
        <w:spacing w:after="120"/>
      </w:pPr>
      <w:r>
        <w:rPr>
          <w:rFonts w:ascii="Arial" w:cs="Arial" w:eastAsia="Arial" w:hAnsi="Arial"/>
          <w:color w:val="1A1A1A"/>
          <w:sz w:val="22"/>
          <w:szCs w:val="22"/>
        </w:rPr>
        <w:t xml:space="preserve">All column names were normalized to lowercase with underscores replacing spaces for consistency with SQL naming conventions and downstream compatibility. The column 'Purchase Amount (USD)' was renamed to 'purchase_amount' for cleaner referencing.</w:t>
      </w:r>
    </w:p>
    <w:p>
      <w:pPr>
        <w:spacing w:after="120"/>
      </w:pPr>
    </w:p>
    <w:p>
      <w:pPr>
        <w:pStyle w:val="Heading2"/>
        <w:spacing w:after="120" w:before="240"/>
      </w:pPr>
      <w:r>
        <w:rPr>
          <w:rFonts w:ascii="Arial" w:cs="Arial" w:eastAsia="Arial" w:hAnsi="Arial"/>
          <w:b/>
          <w:bCs/>
          <w:color w:val="2E6DA4"/>
          <w:sz w:val="26"/>
          <w:szCs w:val="26"/>
        </w:rPr>
        <w:t xml:space="preserve">3.4 Feature Engineering</w:t>
      </w:r>
    </w:p>
    <w:p>
      <w:pPr>
        <w:spacing w:after="120"/>
      </w:pPr>
      <w:r>
        <w:rPr>
          <w:rFonts w:ascii="Arial" w:cs="Arial" w:eastAsia="Arial" w:hAnsi="Arial"/>
          <w:color w:val="1A1A1A"/>
          <w:sz w:val="22"/>
          <w:szCs w:val="22"/>
        </w:rPr>
        <w:t xml:space="preserve">Two new derived features were created to enrich the dataset:</w:t>
      </w:r>
    </w:p>
    <w:p>
      <w:pPr>
        <w:spacing w:after="100"/>
      </w:pPr>
    </w:p>
    <w:p>
      <w:pPr>
        <w:spacing w:after="80" w:before="200"/>
      </w:pPr>
      <w:r>
        <w:rPr>
          <w:rFonts w:ascii="Arial" w:cs="Arial" w:eastAsia="Arial" w:hAnsi="Arial"/>
          <w:b/>
          <w:bCs/>
          <w:color w:val="1E3A5F"/>
          <w:sz w:val="22"/>
          <w:szCs w:val="22"/>
        </w:rPr>
        <w:t xml:space="preserve">Age Group</w:t>
      </w:r>
    </w:p>
    <w:p>
      <w:pPr>
        <w:spacing w:after="120"/>
      </w:pPr>
      <w:r>
        <w:rPr>
          <w:rFonts w:ascii="Arial" w:cs="Arial" w:eastAsia="Arial" w:hAnsi="Arial"/>
          <w:color w:val="1A1A1A"/>
          <w:sz w:val="22"/>
          <w:szCs w:val="22"/>
        </w:rPr>
        <w:t xml:space="preserve">Customers were segmented into four quartile-based age groups using pd.qcut():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2E6DA4" w:sz="1"/>
              <w:left w:val="single" w:color="2E6DA4" w:sz="1"/>
              <w:bottom w:val="single" w:color="2E6DA4" w:sz="1"/>
              <w:right w:val="single" w:color="2E6DA4"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Age Group</w:t>
            </w:r>
          </w:p>
        </w:tc>
        <w:tc>
          <w:tcPr>
            <w:tcW w:type="dxa" w:w="6026"/>
            <w:tcBorders>
              <w:top w:val="single" w:color="2E6DA4" w:sz="1"/>
              <w:left w:val="single" w:color="2E6DA4" w:sz="1"/>
              <w:bottom w:val="single" w:color="2E6DA4" w:sz="1"/>
              <w:right w:val="single" w:color="2E6DA4"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Young Adult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Bottom quartile of age distribution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Adult</w:t>
            </w:r>
          </w:p>
        </w:tc>
        <w:tc>
          <w:tcPr>
            <w:tcW w:type="dxa" w:w="60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Second quartile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Middle-Aged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Third quartile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Senior</w:t>
            </w:r>
          </w:p>
        </w:tc>
        <w:tc>
          <w:tcPr>
            <w:tcW w:type="dxa" w:w="60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Top quartile (most common group)</w:t>
            </w:r>
          </w:p>
        </w:tc>
      </w:tr>
    </w:tbl>
    <w:p>
      <w:pPr>
        <w:spacing w:after="160"/>
      </w:pPr>
    </w:p>
    <w:p>
      <w:pPr>
        <w:spacing w:after="80" w:before="200"/>
      </w:pPr>
      <w:r>
        <w:rPr>
          <w:rFonts w:ascii="Arial" w:cs="Arial" w:eastAsia="Arial" w:hAnsi="Arial"/>
          <w:b/>
          <w:bCs/>
          <w:color w:val="1E3A5F"/>
          <w:sz w:val="22"/>
          <w:szCs w:val="22"/>
        </w:rPr>
        <w:t xml:space="preserve">Purchase Frequency in Days</w:t>
      </w:r>
    </w:p>
    <w:p>
      <w:pPr>
        <w:spacing w:after="120"/>
      </w:pPr>
      <w:r>
        <w:rPr>
          <w:rFonts w:ascii="Arial" w:cs="Arial" w:eastAsia="Arial" w:hAnsi="Arial"/>
          <w:color w:val="1A1A1A"/>
          <w:sz w:val="22"/>
          <w:szCs w:val="22"/>
        </w:rPr>
        <w:t xml:space="preserve">Textual frequency labels were mapped to numeric equivalents (in days) to enable quantitative time-series or frequency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2E6DA4" w:sz="1"/>
              <w:left w:val="single" w:color="2E6DA4" w:sz="1"/>
              <w:bottom w:val="single" w:color="2E6DA4" w:sz="1"/>
              <w:right w:val="single" w:color="2E6DA4"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Frequency Label</w:t>
            </w:r>
          </w:p>
        </w:tc>
        <w:tc>
          <w:tcPr>
            <w:tcW w:type="dxa" w:w="5026"/>
            <w:tcBorders>
              <w:top w:val="single" w:color="2E6DA4" w:sz="1"/>
              <w:left w:val="single" w:color="2E6DA4" w:sz="1"/>
              <w:bottom w:val="single" w:color="2E6DA4" w:sz="1"/>
              <w:right w:val="single" w:color="2E6DA4"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Mapped Days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Weekly</w:t>
            </w:r>
          </w:p>
        </w:tc>
        <w:tc>
          <w:tcPr>
            <w:tcW w:type="dxa" w:w="5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7 days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Fortnightly / Bi-Weekly</w:t>
            </w:r>
          </w:p>
        </w:tc>
        <w:tc>
          <w:tcPr>
            <w:tcW w:type="dxa" w:w="50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14 days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Monthly</w:t>
            </w:r>
          </w:p>
        </w:tc>
        <w:tc>
          <w:tcPr>
            <w:tcW w:type="dxa" w:w="5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30 days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Quarterly / Every 3 Months</w:t>
            </w:r>
          </w:p>
        </w:tc>
        <w:tc>
          <w:tcPr>
            <w:tcW w:type="dxa" w:w="50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90 days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Annually</w:t>
            </w:r>
          </w:p>
        </w:tc>
        <w:tc>
          <w:tcPr>
            <w:tcW w:type="dxa" w:w="5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365 days</w:t>
            </w:r>
          </w:p>
        </w:tc>
      </w:tr>
    </w:tbl>
    <w:p>
      <w:pPr>
        <w:spacing w:after="200"/>
      </w:pPr>
    </w:p>
    <w:p>
      <w:pPr>
        <w:pStyle w:val="Heading2"/>
        <w:spacing w:after="120" w:before="240"/>
      </w:pPr>
      <w:r>
        <w:rPr>
          <w:rFonts w:ascii="Arial" w:cs="Arial" w:eastAsia="Arial" w:hAnsi="Arial"/>
          <w:b/>
          <w:bCs/>
          <w:color w:val="2E6DA4"/>
          <w:sz w:val="26"/>
          <w:szCs w:val="26"/>
        </w:rPr>
        <w:t xml:space="preserve">3.5 Redundant Feature Removal</w:t>
      </w:r>
    </w:p>
    <w:p>
      <w:pPr>
        <w:spacing w:after="120"/>
      </w:pPr>
      <w:r>
        <w:rPr>
          <w:rFonts w:ascii="Arial" w:cs="Arial" w:eastAsia="Arial" w:hAnsi="Arial"/>
          <w:color w:val="1A1A1A"/>
          <w:sz w:val="22"/>
          <w:szCs w:val="22"/>
        </w:rPr>
        <w:t xml:space="preserve">A logical check confirmed that the Discount Applied and Promo Code Used columns were perfectly identical across all 3,900 rows (100% correlation). The Promo Code Used column was therefore dropped to eliminate redundancy and reduce feature dimensionality without information loss.</w:t>
      </w:r>
    </w:p>
    <w:p>
      <w:pPr>
        <w:spacing w:after="120"/>
      </w:pPr>
    </w:p>
    <w:p>
      <w:pPr>
        <w:pStyle w:val="Heading2"/>
        <w:spacing w:after="120" w:before="240"/>
      </w:pPr>
      <w:r>
        <w:rPr>
          <w:rFonts w:ascii="Arial" w:cs="Arial" w:eastAsia="Arial" w:hAnsi="Arial"/>
          <w:b/>
          <w:bCs/>
          <w:color w:val="2E6DA4"/>
          <w:sz w:val="26"/>
          <w:szCs w:val="26"/>
        </w:rPr>
        <w:t xml:space="preserve">3.6 Database Integration</w:t>
      </w:r>
    </w:p>
    <w:p>
      <w:pPr>
        <w:spacing w:after="120"/>
      </w:pPr>
      <w:r>
        <w:rPr>
          <w:rFonts w:ascii="Arial" w:cs="Arial" w:eastAsia="Arial" w:hAnsi="Arial"/>
          <w:color w:val="1A1A1A"/>
          <w:sz w:val="22"/>
          <w:szCs w:val="22"/>
        </w:rPr>
        <w:t xml:space="preserve">The cleaned and feature-engineered DataFrame was loaded into a PostgreSQL database (customer_behavior) using SQLAlchemy with the psycopg2 driver. The table 'customer' was created (or replaced if existing) with the full dataset, making it queryable for SQL-based analytics and Power BI connectivity.</w:t>
      </w:r>
    </w:p>
    <w:p>
      <w:pPr>
        <w:spacing w:after="240"/>
      </w:pPr>
    </w:p>
    <w:p>
      <w:r>
        <w:br w:type="page"/>
      </w:r>
    </w:p>
    <w:p>
      <w:pPr>
        <w:pStyle w:val="Heading1"/>
        <w:spacing w:after="160" w:before="320"/>
      </w:pPr>
      <w:r>
        <w:rPr>
          <w:rFonts w:ascii="Arial" w:cs="Arial" w:eastAsia="Arial" w:hAnsi="Arial"/>
          <w:b/>
          <w:bCs/>
          <w:color w:val="1E3A5F"/>
          <w:sz w:val="32"/>
          <w:szCs w:val="32"/>
        </w:rPr>
        <w:t xml:space="preserve">4. Key Findings &amp; Analysis</w:t>
      </w:r>
    </w:p>
    <w:p>
      <w:pPr>
        <w:pStyle w:val="Heading2"/>
        <w:spacing w:after="120" w:before="240"/>
      </w:pPr>
      <w:r>
        <w:rPr>
          <w:rFonts w:ascii="Arial" w:cs="Arial" w:eastAsia="Arial" w:hAnsi="Arial"/>
          <w:b/>
          <w:bCs/>
          <w:color w:val="2E6DA4"/>
          <w:sz w:val="26"/>
          <w:szCs w:val="26"/>
        </w:rPr>
        <w:t xml:space="preserve">4.1 Product Category Distribution</w:t>
      </w:r>
    </w:p>
    <w:p>
      <w:pPr>
        <w:spacing w:after="120"/>
      </w:pPr>
      <w:r>
        <w:rPr>
          <w:rFonts w:ascii="Arial" w:cs="Arial" w:eastAsia="Arial" w:hAnsi="Arial"/>
          <w:color w:val="1A1A1A"/>
          <w:sz w:val="22"/>
          <w:szCs w:val="22"/>
        </w:rPr>
        <w:t xml:space="preserve">The dataset covers four product categories. Clothing is the dominant category, accounting for nearly 45% of all purchases.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800"/>
        <w:gridCol w:w="2226"/>
      </w:tblGrid>
      <w:tr>
        <w:trPr>
          <w:tblHeader/>
        </w:trPr>
        <w:tc>
          <w:tcPr>
            <w:tcW w:type="dxa" w:w="2800"/>
            <w:tcBorders>
              <w:top w:val="single" w:color="2E6DA4" w:sz="1"/>
              <w:left w:val="single" w:color="2E6DA4" w:sz="1"/>
              <w:bottom w:val="single" w:color="2E6DA4" w:sz="1"/>
              <w:right w:val="single" w:color="2E6DA4"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Category</w:t>
            </w:r>
          </w:p>
        </w:tc>
        <w:tc>
          <w:tcPr>
            <w:tcW w:type="dxa" w:w="2200"/>
            <w:tcBorders>
              <w:top w:val="single" w:color="2E6DA4" w:sz="1"/>
              <w:left w:val="single" w:color="2E6DA4" w:sz="1"/>
              <w:bottom w:val="single" w:color="2E6DA4" w:sz="1"/>
              <w:right w:val="single" w:color="2E6DA4"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Transaction Count</w:t>
            </w:r>
          </w:p>
        </w:tc>
        <w:tc>
          <w:tcPr>
            <w:tcW w:type="dxa" w:w="1800"/>
            <w:tcBorders>
              <w:top w:val="single" w:color="2E6DA4" w:sz="1"/>
              <w:left w:val="single" w:color="2E6DA4" w:sz="1"/>
              <w:bottom w:val="single" w:color="2E6DA4" w:sz="1"/>
              <w:right w:val="single" w:color="2E6DA4"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Share (%)</w:t>
            </w:r>
          </w:p>
        </w:tc>
        <w:tc>
          <w:tcPr>
            <w:tcW w:type="dxa" w:w="2226"/>
            <w:tcBorders>
              <w:top w:val="single" w:color="2E6DA4" w:sz="1"/>
              <w:left w:val="single" w:color="2E6DA4" w:sz="1"/>
              <w:bottom w:val="single" w:color="2E6DA4" w:sz="1"/>
              <w:right w:val="single" w:color="2E6DA4"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Avg. Purchase (USD)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Clothing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1,737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44.5%</w:t>
            </w:r>
          </w:p>
        </w:tc>
        <w:tc>
          <w:tcPr>
            <w:tcW w:type="dxa" w:w="2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$60.03</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Accessories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1,240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31.8%</w:t>
            </w:r>
          </w:p>
        </w:tc>
        <w:tc>
          <w:tcPr>
            <w:tcW w:type="dxa" w:w="22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$59.84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Footwear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599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15.4%</w:t>
            </w:r>
          </w:p>
        </w:tc>
        <w:tc>
          <w:tcPr>
            <w:tcW w:type="dxa" w:w="2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$60.26</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Outerwear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324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8.3%</w:t>
            </w:r>
          </w:p>
        </w:tc>
        <w:tc>
          <w:tcPr>
            <w:tcW w:type="dxa" w:w="22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$57.17</w:t>
            </w:r>
          </w:p>
        </w:tc>
      </w:tr>
    </w:tbl>
    <w:p>
      <w:pPr>
        <w:spacing w:after="160"/>
      </w:pPr>
    </w:p>
    <w:p>
      <w:pPr>
        <w:spacing w:after="120"/>
      </w:pPr>
      <w:r>
        <w:rPr>
          <w:rFonts w:ascii="Arial" w:cs="Arial" w:eastAsia="Arial" w:hAnsi="Arial"/>
          <w:color w:val="1A1A1A"/>
          <w:sz w:val="22"/>
          <w:szCs w:val="22"/>
        </w:rPr>
        <w:t xml:space="preserve">Notably, average purchase amounts are remarkably consistent across categories (ranging only $57.17–$60.26), suggesting the pricing structure is not heavily category-driven.</w:t>
      </w:r>
    </w:p>
    <w:p>
      <w:pPr>
        <w:spacing w:after="160"/>
      </w:pPr>
    </w:p>
    <w:p>
      <w:pPr>
        <w:pStyle w:val="Heading2"/>
        <w:spacing w:after="120" w:before="240"/>
      </w:pPr>
      <w:r>
        <w:rPr>
          <w:rFonts w:ascii="Arial" w:cs="Arial" w:eastAsia="Arial" w:hAnsi="Arial"/>
          <w:b/>
          <w:bCs/>
          <w:color w:val="2E6DA4"/>
          <w:sz w:val="26"/>
          <w:szCs w:val="26"/>
        </w:rPr>
        <w:t xml:space="preserve">4.2 Customer Demographics</w:t>
      </w:r>
    </w:p>
    <w:p>
      <w:pPr>
        <w:spacing w:after="120"/>
      </w:pPr>
      <w:r>
        <w:rPr>
          <w:rFonts w:ascii="Arial" w:cs="Arial" w:eastAsia="Arial" w:hAnsi="Arial"/>
          <w:color w:val="1A1A1A"/>
          <w:sz w:val="22"/>
          <w:szCs w:val="22"/>
        </w:rPr>
        <w:t xml:space="preserve">The age distribution of 3,900 customers spans 18 to 70 years with a mean age of 44.07 and median of 44. The distribution is slightly right-skewed toward older customers, with the 55-70 age group being the largest demographic segment.</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026"/>
      </w:tblGrid>
      <w:tr>
        <w:trPr>
          <w:tblHeader/>
        </w:trPr>
        <w:tc>
          <w:tcPr>
            <w:tcW w:type="dxa" w:w="3500"/>
            <w:tcBorders>
              <w:top w:val="single" w:color="2E6DA4" w:sz="1"/>
              <w:left w:val="single" w:color="2E6DA4" w:sz="1"/>
              <w:bottom w:val="single" w:color="2E6DA4" w:sz="1"/>
              <w:right w:val="single" w:color="2E6DA4"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Age Group</w:t>
            </w:r>
          </w:p>
        </w:tc>
        <w:tc>
          <w:tcPr>
            <w:tcW w:type="dxa" w:w="2500"/>
            <w:tcBorders>
              <w:top w:val="single" w:color="2E6DA4" w:sz="1"/>
              <w:left w:val="single" w:color="2E6DA4" w:sz="1"/>
              <w:bottom w:val="single" w:color="2E6DA4" w:sz="1"/>
              <w:right w:val="single" w:color="2E6DA4"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Customer Count</w:t>
            </w:r>
          </w:p>
        </w:tc>
        <w:tc>
          <w:tcPr>
            <w:tcW w:type="dxa" w:w="3026"/>
            <w:tcBorders>
              <w:top w:val="single" w:color="2E6DA4" w:sz="1"/>
              <w:left w:val="single" w:color="2E6DA4" w:sz="1"/>
              <w:bottom w:val="single" w:color="2E6DA4" w:sz="1"/>
              <w:right w:val="single" w:color="2E6DA4"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Share (%)</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18–24 (Young Adult)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502</w:t>
            </w:r>
          </w:p>
        </w:tc>
        <w:tc>
          <w:tcPr>
            <w:tcW w:type="dxa" w:w="3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12.9%</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25–34 (Adult)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742</w:t>
            </w:r>
          </w:p>
        </w:tc>
        <w:tc>
          <w:tcPr>
            <w:tcW w:type="dxa" w:w="30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19.0%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35–44 (Adult/Middle-Aged)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729</w:t>
            </w:r>
          </w:p>
        </w:tc>
        <w:tc>
          <w:tcPr>
            <w:tcW w:type="dxa" w:w="3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18.7%</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45–54 (Middle-Aged)</w:t>
            </w:r>
          </w:p>
        </w:tc>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753</w:t>
            </w:r>
          </w:p>
        </w:tc>
        <w:tc>
          <w:tcPr>
            <w:tcW w:type="dxa" w:w="30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19.3%</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55–70 (Senior)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1,105</w:t>
            </w:r>
          </w:p>
        </w:tc>
        <w:tc>
          <w:tcPr>
            <w:tcW w:type="dxa" w:w="3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28.3%</w:t>
            </w:r>
          </w:p>
        </w:tc>
      </w:tr>
    </w:tbl>
    <w:p>
      <w:pPr>
        <w:spacing w:after="160"/>
      </w:pPr>
    </w:p>
    <w:p>
      <w:pPr>
        <w:spacing w:after="120"/>
      </w:pPr>
      <w:r>
        <w:rPr>
          <w:rFonts w:ascii="Arial" w:cs="Arial" w:eastAsia="Arial" w:hAnsi="Arial"/>
          <w:color w:val="1A1A1A"/>
          <w:sz w:val="22"/>
          <w:szCs w:val="22"/>
        </w:rPr>
        <w:t xml:space="preserve">Gender distribution shows a strong male majority: 2,652 male customers (68%) versus 1,248 female (32%). This may reflect the product mix or marketing channel bias and warrants further investigation.</w:t>
      </w:r>
    </w:p>
    <w:p>
      <w:pPr>
        <w:spacing w:after="160"/>
      </w:pPr>
    </w:p>
    <w:p>
      <w:pPr>
        <w:pStyle w:val="Heading2"/>
        <w:spacing w:after="120" w:before="240"/>
      </w:pPr>
      <w:r>
        <w:rPr>
          <w:rFonts w:ascii="Arial" w:cs="Arial" w:eastAsia="Arial" w:hAnsi="Arial"/>
          <w:b/>
          <w:bCs/>
          <w:color w:val="2E6DA4"/>
          <w:sz w:val="26"/>
          <w:szCs w:val="26"/>
        </w:rPr>
        <w:t xml:space="preserve">4.3 Seasonal Revenue Patterns</w:t>
      </w:r>
    </w:p>
    <w:p>
      <w:pPr>
        <w:spacing w:after="120"/>
      </w:pPr>
      <w:r>
        <w:rPr>
          <w:rFonts w:ascii="Arial" w:cs="Arial" w:eastAsia="Arial" w:hAnsi="Arial"/>
          <w:color w:val="1A1A1A"/>
          <w:sz w:val="22"/>
          <w:szCs w:val="22"/>
        </w:rPr>
        <w:t xml:space="preserve">Total revenue by season is broadly even, with Fall generating slightly higher revenue due to its transaction volume. This indicates no dramatic seasonal demand spikes, though promotional strategies could be optimized for Spring and Summer to close the gap.</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26"/>
      </w:tblGrid>
      <w:tr>
        <w:trPr>
          <w:tblHeader/>
        </w:trPr>
        <w:tc>
          <w:tcPr>
            <w:tcW w:type="dxa" w:w="2800"/>
            <w:tcBorders>
              <w:top w:val="single" w:color="2E6DA4" w:sz="1"/>
              <w:left w:val="single" w:color="2E6DA4" w:sz="1"/>
              <w:bottom w:val="single" w:color="2E6DA4" w:sz="1"/>
              <w:right w:val="single" w:color="2E6DA4"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Season</w:t>
            </w:r>
          </w:p>
        </w:tc>
        <w:tc>
          <w:tcPr>
            <w:tcW w:type="dxa" w:w="3000"/>
            <w:tcBorders>
              <w:top w:val="single" w:color="2E6DA4" w:sz="1"/>
              <w:left w:val="single" w:color="2E6DA4" w:sz="1"/>
              <w:bottom w:val="single" w:color="2E6DA4" w:sz="1"/>
              <w:right w:val="single" w:color="2E6DA4"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Total Revenue (USD)</w:t>
            </w:r>
          </w:p>
        </w:tc>
        <w:tc>
          <w:tcPr>
            <w:tcW w:type="dxa" w:w="3226"/>
            <w:tcBorders>
              <w:top w:val="single" w:color="2E6DA4" w:sz="1"/>
              <w:left w:val="single" w:color="2E6DA4" w:sz="1"/>
              <w:bottom w:val="single" w:color="2E6DA4" w:sz="1"/>
              <w:right w:val="single" w:color="2E6DA4"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Transaction Count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Fall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$60,018</w:t>
            </w:r>
          </w:p>
        </w:tc>
        <w:tc>
          <w:tcPr>
            <w:tcW w:type="dxa" w:w="3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975</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Spring</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$58,679</w:t>
            </w:r>
          </w:p>
        </w:tc>
        <w:tc>
          <w:tcPr>
            <w:tcW w:type="dxa" w:w="32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999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Winter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$58,607</w:t>
            </w:r>
          </w:p>
        </w:tc>
        <w:tc>
          <w:tcPr>
            <w:tcW w:type="dxa" w:w="3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971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Summer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$55,777</w:t>
            </w:r>
          </w:p>
        </w:tc>
        <w:tc>
          <w:tcPr>
            <w:tcW w:type="dxa" w:w="32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955</w:t>
            </w:r>
          </w:p>
        </w:tc>
      </w:tr>
    </w:tbl>
    <w:p>
      <w:pPr>
        <w:spacing w:after="200"/>
      </w:pPr>
    </w:p>
    <w:p>
      <w:pPr>
        <w:pStyle w:val="Heading2"/>
        <w:spacing w:after="120" w:before="240"/>
      </w:pPr>
      <w:r>
        <w:rPr>
          <w:rFonts w:ascii="Arial" w:cs="Arial" w:eastAsia="Arial" w:hAnsi="Arial"/>
          <w:b/>
          <w:bCs/>
          <w:color w:val="2E6DA4"/>
          <w:sz w:val="26"/>
          <w:szCs w:val="26"/>
        </w:rPr>
        <w:t xml:space="preserve">4.4 Purchase Frequency</w:t>
      </w:r>
    </w:p>
    <w:p>
      <w:pPr>
        <w:spacing w:after="120"/>
      </w:pPr>
      <w:r>
        <w:rPr>
          <w:rFonts w:ascii="Arial" w:cs="Arial" w:eastAsia="Arial" w:hAnsi="Arial"/>
          <w:color w:val="1A1A1A"/>
          <w:sz w:val="22"/>
          <w:szCs w:val="22"/>
        </w:rPr>
        <w:t xml:space="preserve">Purchase frequency is distributed remarkably evenly across all frequency bands, with no single pattern dominating. This suggests a diverse customer base with varied engagement levels, which has implications for loyalty program design and email/notification frequency.</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tblHeader/>
        </w:trPr>
        <w:tc>
          <w:tcPr>
            <w:tcW w:type="dxa" w:w="4500"/>
            <w:tcBorders>
              <w:top w:val="single" w:color="2E6DA4" w:sz="1"/>
              <w:left w:val="single" w:color="2E6DA4" w:sz="1"/>
              <w:bottom w:val="single" w:color="2E6DA4" w:sz="1"/>
              <w:right w:val="single" w:color="2E6DA4"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Purchase Frequency</w:t>
            </w:r>
          </w:p>
        </w:tc>
        <w:tc>
          <w:tcPr>
            <w:tcW w:type="dxa" w:w="4526"/>
            <w:tcBorders>
              <w:top w:val="single" w:color="2E6DA4" w:sz="1"/>
              <w:left w:val="single" w:color="2E6DA4" w:sz="1"/>
              <w:bottom w:val="single" w:color="2E6DA4" w:sz="1"/>
              <w:right w:val="single" w:color="2E6DA4"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Customer Count</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Every 3 Months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584</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Annually</w:t>
            </w:r>
          </w:p>
        </w:tc>
        <w:tc>
          <w:tcPr>
            <w:tcW w:type="dxa" w:w="45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572</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Quarterly</w:t>
            </w:r>
          </w:p>
        </w:tc>
        <w:tc>
          <w:tcPr>
            <w:tcW w:type="dxa" w:w="4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563</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Monthly</w:t>
            </w:r>
          </w:p>
        </w:tc>
        <w:tc>
          <w:tcPr>
            <w:tcW w:type="dxa" w:w="45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553</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Bi-Weekly</w:t>
            </w:r>
          </w:p>
        </w:tc>
        <w:tc>
          <w:tcPr>
            <w:tcW w:type="dxa" w:w="4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547</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Fortnightly</w:t>
            </w:r>
          </w:p>
        </w:tc>
        <w:tc>
          <w:tcPr>
            <w:tcW w:type="dxa" w:w="45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542</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Weekly</w:t>
            </w:r>
          </w:p>
        </w:tc>
        <w:tc>
          <w:tcPr>
            <w:tcW w:type="dxa" w:w="4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539</w:t>
            </w:r>
          </w:p>
        </w:tc>
      </w:tr>
    </w:tbl>
    <w:p>
      <w:pPr>
        <w:spacing w:after="200"/>
      </w:pPr>
    </w:p>
    <w:p>
      <w:pPr>
        <w:pStyle w:val="Heading2"/>
        <w:spacing w:after="120" w:before="240"/>
      </w:pPr>
      <w:r>
        <w:rPr>
          <w:rFonts w:ascii="Arial" w:cs="Arial" w:eastAsia="Arial" w:hAnsi="Arial"/>
          <w:b/>
          <w:bCs/>
          <w:color w:val="2E6DA4"/>
          <w:sz w:val="26"/>
          <w:szCs w:val="26"/>
        </w:rPr>
        <w:t xml:space="preserve">4.5 Payment Method Preferences</w:t>
      </w:r>
    </w:p>
    <w:p>
      <w:pPr>
        <w:spacing w:after="120"/>
      </w:pPr>
      <w:r>
        <w:rPr>
          <w:rFonts w:ascii="Arial" w:cs="Arial" w:eastAsia="Arial" w:hAnsi="Arial"/>
          <w:color w:val="1A1A1A"/>
          <w:sz w:val="22"/>
          <w:szCs w:val="22"/>
        </w:rPr>
        <w:t xml:space="preserve">All six payment methods show near-uniform distribution, indicating that customers do not have a dominant payment preference. PayPal leads marginally, followed closely by Credit Card and Cash. Businesses should maintain support for all payment channels.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tcBorders>
              <w:top w:val="single" w:color="2E6DA4" w:sz="1"/>
              <w:left w:val="single" w:color="2E6DA4" w:sz="1"/>
              <w:bottom w:val="single" w:color="2E6DA4" w:sz="1"/>
              <w:right w:val="single" w:color="2E6DA4"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Payment Method</w:t>
            </w:r>
          </w:p>
        </w:tc>
        <w:tc>
          <w:tcPr>
            <w:tcW w:type="dxa" w:w="2000"/>
            <w:tcBorders>
              <w:top w:val="single" w:color="2E6DA4" w:sz="1"/>
              <w:left w:val="single" w:color="2E6DA4" w:sz="1"/>
              <w:bottom w:val="single" w:color="2E6DA4" w:sz="1"/>
              <w:right w:val="single" w:color="2E6DA4"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Count</w:t>
            </w:r>
          </w:p>
        </w:tc>
        <w:tc>
          <w:tcPr>
            <w:tcW w:type="dxa" w:w="4026"/>
            <w:tcBorders>
              <w:top w:val="single" w:color="2E6DA4" w:sz="1"/>
              <w:left w:val="single" w:color="2E6DA4" w:sz="1"/>
              <w:bottom w:val="single" w:color="2E6DA4" w:sz="1"/>
              <w:right w:val="single" w:color="2E6DA4"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Share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PayPal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677</w:t>
            </w:r>
          </w:p>
        </w:tc>
        <w:tc>
          <w:tcPr>
            <w:tcW w:type="dxa" w:w="4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17.4%</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Credit Card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671</w:t>
            </w:r>
          </w:p>
        </w:tc>
        <w:tc>
          <w:tcPr>
            <w:tcW w:type="dxa" w:w="40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17.2%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Cash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670</w:t>
            </w:r>
          </w:p>
        </w:tc>
        <w:tc>
          <w:tcPr>
            <w:tcW w:type="dxa" w:w="4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17.2%</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Debit Card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636</w:t>
            </w:r>
          </w:p>
        </w:tc>
        <w:tc>
          <w:tcPr>
            <w:tcW w:type="dxa" w:w="40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16.3%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Venmo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634</w:t>
            </w:r>
          </w:p>
        </w:tc>
        <w:tc>
          <w:tcPr>
            <w:tcW w:type="dxa" w:w="4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16.3%</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Bank Transfer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612</w:t>
            </w:r>
          </w:p>
        </w:tc>
        <w:tc>
          <w:tcPr>
            <w:tcW w:type="dxa" w:w="40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15.7%</w:t>
            </w:r>
          </w:p>
        </w:tc>
      </w:tr>
    </w:tbl>
    <w:p>
      <w:pPr>
        <w:spacing w:after="200"/>
      </w:pPr>
    </w:p>
    <w:p>
      <w:pPr>
        <w:pStyle w:val="Heading2"/>
        <w:spacing w:after="120" w:before="240"/>
      </w:pPr>
      <w:r>
        <w:rPr>
          <w:rFonts w:ascii="Arial" w:cs="Arial" w:eastAsia="Arial" w:hAnsi="Arial"/>
          <w:b/>
          <w:bCs/>
          <w:color w:val="2E6DA4"/>
          <w:sz w:val="26"/>
          <w:szCs w:val="26"/>
        </w:rPr>
        <w:t xml:space="preserve">4.6 Discount &amp; Subscription Impact</w:t>
      </w:r>
    </w:p>
    <w:p>
      <w:pPr>
        <w:spacing w:after="120"/>
      </w:pPr>
      <w:r>
        <w:rPr>
          <w:rFonts w:ascii="Arial" w:cs="Arial" w:eastAsia="Arial" w:hAnsi="Arial"/>
          <w:color w:val="1A1A1A"/>
          <w:sz w:val="22"/>
          <w:szCs w:val="22"/>
        </w:rPr>
        <w:t xml:space="preserve">Analysis of discount impact on purchase amount reveals a counterintuitive finding: customers who did NOT receive a discount spent marginally more on average ($60.13) compared to those who did ($59.28). The difference is negligible, suggesting discounts are not a significant driver of purchase value in this dataset.</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2E6DA4" w:sz="1"/>
              <w:left w:val="single" w:color="2E6DA4" w:sz="1"/>
              <w:bottom w:val="single" w:color="2E6DA4" w:sz="1"/>
              <w:right w:val="single" w:color="2E6DA4" w:sz="1"/>
            </w:tcBorders>
            <w:shd w:fill="D6E4F0" w:val="clear"/>
            <w:tcMar>
              <w:top w:type="dxa" w:w="120"/>
              <w:left w:type="dxa" w:w="140"/>
              <w:bottom w:type="dxa" w:w="120"/>
              <w:right w:type="dxa" w:w="140"/>
            </w:tcMar>
            <w:vAlign w:val="center"/>
          </w:tcPr>
          <w:p>
            <w:pPr>
              <w:jc w:val="center"/>
            </w:pPr>
            <w:r>
              <w:rPr>
                <w:rFonts w:ascii="Arial" w:cs="Arial" w:eastAsia="Arial" w:hAnsi="Arial"/>
                <w:b/>
                <w:bCs/>
                <w:color w:val="1E3A5F"/>
                <w:sz w:val="36"/>
                <w:szCs w:val="36"/>
              </w:rPr>
              <w:t xml:space="preserve">$60.13</w:t>
            </w:r>
          </w:p>
          <w:p>
            <w:pPr>
              <w:jc w:val="center"/>
            </w:pPr>
            <w:r>
              <w:rPr>
                <w:rFonts w:ascii="Arial" w:cs="Arial" w:eastAsia="Arial" w:hAnsi="Arial"/>
                <w:b/>
                <w:bCs/>
                <w:color w:val="2E6DA4"/>
                <w:sz w:val="18"/>
                <w:szCs w:val="18"/>
              </w:rPr>
              <w:t xml:space="preserve">No Discount</w:t>
            </w:r>
          </w:p>
          <w:p>
            <w:pPr>
              <w:jc w:val="center"/>
            </w:pPr>
            <w:r>
              <w:rPr>
                <w:rFonts w:ascii="Arial" w:cs="Arial" w:eastAsia="Arial" w:hAnsi="Arial"/>
                <w:color w:val="444444"/>
                <w:sz w:val="16"/>
                <w:szCs w:val="16"/>
              </w:rPr>
              <w:t xml:space="preserve">Avg. Purchase Amount</w:t>
            </w:r>
          </w:p>
        </w:tc>
        <w:tc>
          <w:tcPr>
            <w:tcW w:type="dxa" w:w="2256"/>
            <w:tcBorders>
              <w:top w:val="single" w:color="2E6DA4" w:sz="1"/>
              <w:left w:val="single" w:color="2E6DA4" w:sz="1"/>
              <w:bottom w:val="single" w:color="2E6DA4" w:sz="1"/>
              <w:right w:val="single" w:color="2E6DA4" w:sz="1"/>
            </w:tcBorders>
            <w:shd w:fill="D6E4F0" w:val="clear"/>
            <w:tcMar>
              <w:top w:type="dxa" w:w="120"/>
              <w:left w:type="dxa" w:w="140"/>
              <w:bottom w:type="dxa" w:w="120"/>
              <w:right w:type="dxa" w:w="140"/>
            </w:tcMar>
            <w:vAlign w:val="center"/>
          </w:tcPr>
          <w:p>
            <w:pPr>
              <w:jc w:val="center"/>
            </w:pPr>
            <w:r>
              <w:rPr>
                <w:rFonts w:ascii="Arial" w:cs="Arial" w:eastAsia="Arial" w:hAnsi="Arial"/>
                <w:b/>
                <w:bCs/>
                <w:color w:val="1E3A5F"/>
                <w:sz w:val="36"/>
                <w:szCs w:val="36"/>
              </w:rPr>
              <w:t xml:space="preserve">$59.28</w:t>
            </w:r>
          </w:p>
          <w:p>
            <w:pPr>
              <w:jc w:val="center"/>
            </w:pPr>
            <w:r>
              <w:rPr>
                <w:rFonts w:ascii="Arial" w:cs="Arial" w:eastAsia="Arial" w:hAnsi="Arial"/>
                <w:b/>
                <w:bCs/>
                <w:color w:val="2E6DA4"/>
                <w:sz w:val="18"/>
                <w:szCs w:val="18"/>
              </w:rPr>
              <w:t xml:space="preserve">With Discount</w:t>
            </w:r>
          </w:p>
          <w:p>
            <w:pPr>
              <w:jc w:val="center"/>
            </w:pPr>
            <w:r>
              <w:rPr>
                <w:rFonts w:ascii="Arial" w:cs="Arial" w:eastAsia="Arial" w:hAnsi="Arial"/>
                <w:color w:val="444444"/>
                <w:sz w:val="16"/>
                <w:szCs w:val="16"/>
              </w:rPr>
              <w:t xml:space="preserve">Avg. Purchase Amount</w:t>
            </w:r>
          </w:p>
        </w:tc>
        <w:tc>
          <w:tcPr>
            <w:tcW w:type="dxa" w:w="2256"/>
            <w:tcBorders>
              <w:top w:val="single" w:color="2E6DA4" w:sz="1"/>
              <w:left w:val="single" w:color="2E6DA4" w:sz="1"/>
              <w:bottom w:val="single" w:color="2E6DA4" w:sz="1"/>
              <w:right w:val="single" w:color="2E6DA4" w:sz="1"/>
            </w:tcBorders>
            <w:shd w:fill="D6E4F0" w:val="clear"/>
            <w:tcMar>
              <w:top w:type="dxa" w:w="120"/>
              <w:left w:type="dxa" w:w="140"/>
              <w:bottom w:type="dxa" w:w="120"/>
              <w:right w:type="dxa" w:w="140"/>
            </w:tcMar>
            <w:vAlign w:val="center"/>
          </w:tcPr>
          <w:p>
            <w:pPr>
              <w:jc w:val="center"/>
            </w:pPr>
            <w:r>
              <w:rPr>
                <w:rFonts w:ascii="Arial" w:cs="Arial" w:eastAsia="Arial" w:hAnsi="Arial"/>
                <w:b/>
                <w:bCs/>
                <w:color w:val="1E3A5F"/>
                <w:sz w:val="36"/>
                <w:szCs w:val="36"/>
              </w:rPr>
              <w:t xml:space="preserve">$59.87</w:t>
            </w:r>
          </w:p>
          <w:p>
            <w:pPr>
              <w:jc w:val="center"/>
            </w:pPr>
            <w:r>
              <w:rPr>
                <w:rFonts w:ascii="Arial" w:cs="Arial" w:eastAsia="Arial" w:hAnsi="Arial"/>
                <w:b/>
                <w:bCs/>
                <w:color w:val="2E6DA4"/>
                <w:sz w:val="18"/>
                <w:szCs w:val="18"/>
              </w:rPr>
              <w:t xml:space="preserve">Non-Subscriber</w:t>
            </w:r>
          </w:p>
          <w:p>
            <w:pPr>
              <w:jc w:val="center"/>
            </w:pPr>
            <w:r>
              <w:rPr>
                <w:rFonts w:ascii="Arial" w:cs="Arial" w:eastAsia="Arial" w:hAnsi="Arial"/>
                <w:color w:val="444444"/>
                <w:sz w:val="16"/>
                <w:szCs w:val="16"/>
              </w:rPr>
              <w:t xml:space="preserve">Avg. Purchase Amount</w:t>
            </w:r>
          </w:p>
        </w:tc>
        <w:tc>
          <w:tcPr>
            <w:tcW w:type="dxa" w:w="2256"/>
            <w:tcBorders>
              <w:top w:val="single" w:color="2E6DA4" w:sz="1"/>
              <w:left w:val="single" w:color="2E6DA4" w:sz="1"/>
              <w:bottom w:val="single" w:color="2E6DA4" w:sz="1"/>
              <w:right w:val="single" w:color="2E6DA4" w:sz="1"/>
            </w:tcBorders>
            <w:shd w:fill="D6E4F0" w:val="clear"/>
            <w:tcMar>
              <w:top w:type="dxa" w:w="120"/>
              <w:left w:type="dxa" w:w="140"/>
              <w:bottom w:type="dxa" w:w="120"/>
              <w:right w:type="dxa" w:w="140"/>
            </w:tcMar>
            <w:vAlign w:val="center"/>
          </w:tcPr>
          <w:p>
            <w:pPr>
              <w:jc w:val="center"/>
            </w:pPr>
            <w:r>
              <w:rPr>
                <w:rFonts w:ascii="Arial" w:cs="Arial" w:eastAsia="Arial" w:hAnsi="Arial"/>
                <w:b/>
                <w:bCs/>
                <w:color w:val="1E3A5F"/>
                <w:sz w:val="36"/>
                <w:szCs w:val="36"/>
              </w:rPr>
              <w:t xml:space="preserve">$59.49</w:t>
            </w:r>
          </w:p>
          <w:p>
            <w:pPr>
              <w:jc w:val="center"/>
            </w:pPr>
            <w:r>
              <w:rPr>
                <w:rFonts w:ascii="Arial" w:cs="Arial" w:eastAsia="Arial" w:hAnsi="Arial"/>
                <w:b/>
                <w:bCs/>
                <w:color w:val="2E6DA4"/>
                <w:sz w:val="18"/>
                <w:szCs w:val="18"/>
              </w:rPr>
              <w:t xml:space="preserve">Subscriber</w:t>
            </w:r>
          </w:p>
          <w:p>
            <w:pPr>
              <w:jc w:val="center"/>
            </w:pPr>
            <w:r>
              <w:rPr>
                <w:rFonts w:ascii="Arial" w:cs="Arial" w:eastAsia="Arial" w:hAnsi="Arial"/>
                <w:color w:val="444444"/>
                <w:sz w:val="16"/>
                <w:szCs w:val="16"/>
              </w:rPr>
              <w:t xml:space="preserve">Avg. Purchase Amount</w:t>
            </w:r>
          </w:p>
        </w:tc>
      </w:tr>
    </w:tbl>
    <w:p>
      <w:pPr>
        <w:spacing w:after="200"/>
      </w:pPr>
    </w:p>
    <w:p>
      <w:pPr>
        <w:spacing w:after="120"/>
      </w:pPr>
      <w:r>
        <w:rPr>
          <w:rFonts w:ascii="Arial" w:cs="Arial" w:eastAsia="Arial" w:hAnsi="Arial"/>
          <w:color w:val="1A1A1A"/>
          <w:sz w:val="22"/>
          <w:szCs w:val="22"/>
        </w:rPr>
        <w:t xml:space="preserve">Similarly, subscription status shows minimal differentiation in average purchase value, though subscribers represent 27% of the customer base (1,053 of 3,900). Subscriber retention and lifetime value analysis would require longitudinal transaction data beyond this snapshot.</w:t>
      </w:r>
    </w:p>
    <w:p>
      <w:pPr>
        <w:spacing w:after="200"/>
      </w:pPr>
    </w:p>
    <w:p>
      <w:r>
        <w:br w:type="page"/>
      </w:r>
    </w:p>
    <w:p>
      <w:pPr>
        <w:pStyle w:val="Heading1"/>
        <w:spacing w:after="160" w:before="320"/>
      </w:pPr>
      <w:r>
        <w:rPr>
          <w:rFonts w:ascii="Arial" w:cs="Arial" w:eastAsia="Arial" w:hAnsi="Arial"/>
          <w:b/>
          <w:bCs/>
          <w:color w:val="1E3A5F"/>
          <w:sz w:val="32"/>
          <w:szCs w:val="32"/>
        </w:rPr>
        <w:t xml:space="preserve">5. Power BI Dashboard</w:t>
      </w:r>
    </w:p>
    <w:p>
      <w:pPr>
        <w:spacing w:after="120"/>
      </w:pPr>
      <w:r>
        <w:rPr>
          <w:rFonts w:ascii="Arial" w:cs="Arial" w:eastAsia="Arial" w:hAnsi="Arial"/>
          <w:color w:val="1A1A1A"/>
          <w:sz w:val="22"/>
          <w:szCs w:val="22"/>
        </w:rPr>
        <w:t xml:space="preserve">A Microsoft Power BI dashboard (Customer_Behavior_Dashboard.pbix) was developed to complement the Python analysis. The dashboard connects to the PostgreSQL database populated in the data pipeline phase and provides interactive visualization of the following key areas: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2E6DA4" w:sz="1"/>
              <w:left w:val="single" w:color="2E6DA4" w:sz="1"/>
              <w:bottom w:val="single" w:color="2E6DA4" w:sz="1"/>
              <w:right w:val="single" w:color="2E6DA4"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Dashboard Section</w:t>
            </w:r>
          </w:p>
        </w:tc>
        <w:tc>
          <w:tcPr>
            <w:tcW w:type="dxa" w:w="5826"/>
            <w:tcBorders>
              <w:top w:val="single" w:color="2E6DA4" w:sz="1"/>
              <w:left w:val="single" w:color="2E6DA4" w:sz="1"/>
              <w:bottom w:val="single" w:color="2E6DA4" w:sz="1"/>
              <w:right w:val="single" w:color="2E6DA4"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Visualizations Included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Sales Overview</w:t>
            </w:r>
          </w:p>
        </w:tc>
        <w:tc>
          <w:tcPr>
            <w:tcW w:type="dxa" w:w="5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Total revenue, avg. purchase amount, transaction count KPIs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Category Analysis</w:t>
            </w:r>
          </w:p>
        </w:tc>
        <w:tc>
          <w:tcPr>
            <w:tcW w:type="dxa" w:w="58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Bar chart of transactions and revenue by product category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Demographics</w:t>
            </w:r>
          </w:p>
        </w:tc>
        <w:tc>
          <w:tcPr>
            <w:tcW w:type="dxa" w:w="5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Age group distribution, gender split pie chart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Seasonal Trends</w:t>
            </w:r>
          </w:p>
        </w:tc>
        <w:tc>
          <w:tcPr>
            <w:tcW w:type="dxa" w:w="58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Line/bar chart of revenue by season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Payment Methods</w:t>
            </w:r>
          </w:p>
        </w:tc>
        <w:tc>
          <w:tcPr>
            <w:tcW w:type="dxa" w:w="5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Donut chart of payment method share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Subscription Insights</w:t>
            </w:r>
          </w:p>
        </w:tc>
        <w:tc>
          <w:tcPr>
            <w:tcW w:type="dxa" w:w="58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Subscriber vs. non-subscriber metrics comparison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Purchase Frequency</w:t>
            </w:r>
          </w:p>
        </w:tc>
        <w:tc>
          <w:tcPr>
            <w:tcW w:type="dxa" w:w="5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Distribution of purchase frequency bands</w:t>
            </w:r>
          </w:p>
        </w:tc>
      </w:tr>
    </w:tbl>
    <w:p>
      <w:pPr>
        <w:spacing w:after="160"/>
      </w:pPr>
    </w:p>
    <w:p>
      <w:pPr>
        <w:spacing w:after="120"/>
      </w:pPr>
      <w:r>
        <w:rPr>
          <w:rFonts w:ascii="Arial" w:cs="Arial" w:eastAsia="Arial" w:hAnsi="Arial"/>
          <w:color w:val="1A1A1A"/>
          <w:sz w:val="22"/>
          <w:szCs w:val="22"/>
        </w:rPr>
        <w:t xml:space="preserve">The dashboard is designed for business stakeholders to explore customer segments and filter by Category, Season, Gender, and Subscription Status using interactive slicers.</w:t>
      </w:r>
    </w:p>
    <w:p>
      <w:pPr>
        <w:spacing w:after="240"/>
      </w:pPr>
    </w:p>
    <w:p>
      <w:pPr>
        <w:pStyle w:val="Heading1"/>
        <w:spacing w:after="160" w:before="320"/>
      </w:pPr>
      <w:r>
        <w:rPr>
          <w:rFonts w:ascii="Arial" w:cs="Arial" w:eastAsia="Arial" w:hAnsi="Arial"/>
          <w:b/>
          <w:bCs/>
          <w:color w:val="1E3A5F"/>
          <w:sz w:val="32"/>
          <w:szCs w:val="32"/>
        </w:rPr>
        <w:t xml:space="preserve">6. Conclusions &amp; Recommendations</w:t>
      </w:r>
    </w:p>
    <w:p>
      <w:pPr>
        <w:pStyle w:val="Heading2"/>
        <w:spacing w:after="120" w:before="240"/>
      </w:pPr>
      <w:r>
        <w:rPr>
          <w:rFonts w:ascii="Arial" w:cs="Arial" w:eastAsia="Arial" w:hAnsi="Arial"/>
          <w:b/>
          <w:bCs/>
          <w:color w:val="2E6DA4"/>
          <w:sz w:val="26"/>
          <w:szCs w:val="26"/>
        </w:rPr>
        <w:t xml:space="preserve">6.1 Key Conclusions</w:t>
      </w:r>
    </w:p>
    <w:p>
      <w:pPr>
        <w:pStyle w:val="ListParagraph"/>
        <w:numPr>
          <w:ilvl w:val="0"/>
          <w:numId w:val="2"/>
        </w:numPr>
        <w:spacing w:after="80"/>
      </w:pPr>
      <w:r>
        <w:rPr>
          <w:rFonts w:ascii="Arial" w:cs="Arial" w:eastAsia="Arial" w:hAnsi="Arial"/>
          <w:color w:val="1A1A1A"/>
          <w:sz w:val="22"/>
          <w:szCs w:val="22"/>
        </w:rPr>
        <w:t xml:space="preserve">Clothing is the most popular product category, but average purchase values are nearly uniform across all categories, suggesting homogeneous pricing rather than premium segmentation.</w:t>
      </w:r>
    </w:p>
    <w:p>
      <w:pPr>
        <w:pStyle w:val="ListParagraph"/>
        <w:numPr>
          <w:ilvl w:val="0"/>
          <w:numId w:val="2"/>
        </w:numPr>
        <w:spacing w:after="80"/>
      </w:pPr>
      <w:r>
        <w:rPr>
          <w:rFonts w:ascii="Arial" w:cs="Arial" w:eastAsia="Arial" w:hAnsi="Arial"/>
          <w:color w:val="1A1A1A"/>
          <w:sz w:val="22"/>
          <w:szCs w:val="22"/>
        </w:rPr>
        <w:t xml:space="preserve">The customer base is older-skewed (Senior/55-70 is the largest group) and predominantly male, which should inform marketing messaging and channel selection.</w:t>
      </w:r>
    </w:p>
    <w:p>
      <w:pPr>
        <w:pStyle w:val="ListParagraph"/>
        <w:numPr>
          <w:ilvl w:val="0"/>
          <w:numId w:val="2"/>
        </w:numPr>
        <w:spacing w:after="80"/>
      </w:pPr>
      <w:r>
        <w:rPr>
          <w:rFonts w:ascii="Arial" w:cs="Arial" w:eastAsia="Arial" w:hAnsi="Arial"/>
          <w:color w:val="1A1A1A"/>
          <w:sz w:val="22"/>
          <w:szCs w:val="22"/>
        </w:rPr>
        <w:t xml:space="preserve">Purchase frequency is evenly distributed across weekly to annual patterns — there is no single 'typical' customer cadence.</w:t>
      </w:r>
    </w:p>
    <w:p>
      <w:pPr>
        <w:pStyle w:val="ListParagraph"/>
        <w:numPr>
          <w:ilvl w:val="0"/>
          <w:numId w:val="2"/>
        </w:numPr>
        <w:spacing w:after="80"/>
      </w:pPr>
      <w:r>
        <w:rPr>
          <w:rFonts w:ascii="Arial" w:cs="Arial" w:eastAsia="Arial" w:hAnsi="Arial"/>
          <w:color w:val="1A1A1A"/>
          <w:sz w:val="22"/>
          <w:szCs w:val="22"/>
        </w:rPr>
        <w:t xml:space="preserve">Discounts and subscription status have negligible impact on transaction value in this dataset snapshot; deeper cohort analysis over time is recommended.</w:t>
      </w:r>
    </w:p>
    <w:p>
      <w:pPr>
        <w:pStyle w:val="ListParagraph"/>
        <w:numPr>
          <w:ilvl w:val="0"/>
          <w:numId w:val="2"/>
        </w:numPr>
        <w:spacing w:after="80"/>
      </w:pPr>
      <w:r>
        <w:rPr>
          <w:rFonts w:ascii="Arial" w:cs="Arial" w:eastAsia="Arial" w:hAnsi="Arial"/>
          <w:color w:val="1A1A1A"/>
          <w:sz w:val="22"/>
          <w:szCs w:val="22"/>
        </w:rPr>
        <w:t xml:space="preserve">All payment methods are near-uniformly adopted, indicating the need to maintain broad payment channel support.</w:t>
      </w:r>
    </w:p>
    <w:p>
      <w:pPr>
        <w:pStyle w:val="ListParagraph"/>
        <w:numPr>
          <w:ilvl w:val="0"/>
          <w:numId w:val="2"/>
        </w:numPr>
        <w:spacing w:after="80"/>
      </w:pPr>
      <w:r>
        <w:rPr>
          <w:rFonts w:ascii="Arial" w:cs="Arial" w:eastAsia="Arial" w:hAnsi="Arial"/>
          <w:color w:val="1A1A1A"/>
          <w:sz w:val="22"/>
          <w:szCs w:val="22"/>
        </w:rPr>
        <w:t xml:space="preserve">Seasonal revenue differences are modest, but Summer shows the lowest total revenue — a potential target for seasonal promotions.</w:t>
      </w:r>
    </w:p>
    <w:p>
      <w:pPr>
        <w:spacing w:after="160"/>
      </w:pPr>
    </w:p>
    <w:p>
      <w:pPr>
        <w:pStyle w:val="Heading2"/>
        <w:spacing w:after="120" w:before="240"/>
      </w:pPr>
      <w:r>
        <w:rPr>
          <w:rFonts w:ascii="Arial" w:cs="Arial" w:eastAsia="Arial" w:hAnsi="Arial"/>
          <w:b/>
          <w:bCs/>
          <w:color w:val="2E6DA4"/>
          <w:sz w:val="26"/>
          <w:szCs w:val="26"/>
        </w:rPr>
        <w:t xml:space="preserve">6.2 Recommendations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2E6DA4" w:sz="1"/>
              <w:left w:val="single" w:color="2E6DA4" w:sz="1"/>
              <w:bottom w:val="single" w:color="2E6DA4" w:sz="1"/>
              <w:right w:val="single" w:color="2E6DA4"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Area</w:t>
            </w:r>
          </w:p>
        </w:tc>
        <w:tc>
          <w:tcPr>
            <w:tcW w:type="dxa" w:w="6826"/>
            <w:tcBorders>
              <w:top w:val="single" w:color="2E6DA4" w:sz="1"/>
              <w:left w:val="single" w:color="2E6DA4" w:sz="1"/>
              <w:bottom w:val="single" w:color="2E6DA4" w:sz="1"/>
              <w:right w:val="single" w:color="2E6DA4"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Recommendation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Marketing</w:t>
            </w:r>
          </w:p>
        </w:tc>
        <w:tc>
          <w:tcPr>
            <w:tcW w:type="dxa" w:w="6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Target the 55-70 age segment with senior-friendly UX/messaging while developing acquisition strategies for younger demographics (18-34).</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Promotions</w:t>
            </w:r>
          </w:p>
        </w:tc>
        <w:tc>
          <w:tcPr>
            <w:tcW w:type="dxa" w:w="68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Reevaluate the ROI of blanket discounts. Consider loyalty-based or category-specific promotions rather than uniform discount policies.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Seasonality</w:t>
            </w:r>
          </w:p>
        </w:tc>
        <w:tc>
          <w:tcPr>
            <w:tcW w:type="dxa" w:w="6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Launch targeted campaigns in Summer to lift the seasonally lower revenue. Focus on Footwear and Accessories as potential growth categories.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Subscription</w:t>
            </w:r>
          </w:p>
        </w:tc>
        <w:tc>
          <w:tcPr>
            <w:tcW w:type="dxa" w:w="68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Analyze subscriber churn and lifetime value. The 27% subscriber rate is a retention asset worth nurturing with exclusive perks.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Data Collection</w:t>
            </w:r>
          </w:p>
        </w:tc>
        <w:tc>
          <w:tcPr>
            <w:tcW w:type="dxa" w:w="6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Enrich future datasets with transaction timestamps, geographic coordinates, and repeat-purchase flags for deeper behavioral modeling.</w:t>
            </w:r>
          </w:p>
        </w:tc>
      </w:tr>
    </w:tbl>
    <w:p>
      <w:pPr>
        <w:spacing w:after="240"/>
      </w:pPr>
    </w:p>
    <w:p>
      <w:pPr>
        <w:pStyle w:val="Heading1"/>
        <w:spacing w:after="160" w:before="320"/>
      </w:pPr>
      <w:r>
        <w:rPr>
          <w:rFonts w:ascii="Arial" w:cs="Arial" w:eastAsia="Arial" w:hAnsi="Arial"/>
          <w:b/>
          <w:bCs/>
          <w:color w:val="1E3A5F"/>
          <w:sz w:val="32"/>
          <w:szCs w:val="32"/>
        </w:rPr>
        <w:t xml:space="preserve">7. Limitations</w:t>
      </w:r>
    </w:p>
    <w:p>
      <w:pPr>
        <w:pStyle w:val="ListParagraph"/>
        <w:numPr>
          <w:ilvl w:val="0"/>
          <w:numId w:val="2"/>
        </w:numPr>
        <w:spacing w:after="80"/>
      </w:pPr>
      <w:r>
        <w:rPr>
          <w:rFonts w:ascii="Arial" w:cs="Arial" w:eastAsia="Arial" w:hAnsi="Arial"/>
          <w:color w:val="1A1A1A"/>
          <w:sz w:val="22"/>
          <w:szCs w:val="22"/>
        </w:rPr>
        <w:t xml:space="preserve">The dataset is a cross-sectional snapshot without timestamps, limiting time-series and cohort analysis.</w:t>
      </w:r>
    </w:p>
    <w:p>
      <w:pPr>
        <w:pStyle w:val="ListParagraph"/>
        <w:numPr>
          <w:ilvl w:val="0"/>
          <w:numId w:val="2"/>
        </w:numPr>
        <w:spacing w:after="80"/>
      </w:pPr>
      <w:r>
        <w:rPr>
          <w:rFonts w:ascii="Arial" w:cs="Arial" w:eastAsia="Arial" w:hAnsi="Arial"/>
          <w:color w:val="1A1A1A"/>
          <w:sz w:val="22"/>
          <w:szCs w:val="22"/>
        </w:rPr>
        <w:t xml:space="preserve">The significant gender imbalance (68% male) may reflect data collection bias rather than true customer distribution.</w:t>
      </w:r>
    </w:p>
    <w:p>
      <w:pPr>
        <w:pStyle w:val="ListParagraph"/>
        <w:numPr>
          <w:ilvl w:val="0"/>
          <w:numId w:val="2"/>
        </w:numPr>
        <w:spacing w:after="80"/>
      </w:pPr>
      <w:r>
        <w:rPr>
          <w:rFonts w:ascii="Arial" w:cs="Arial" w:eastAsia="Arial" w:hAnsi="Arial"/>
          <w:color w:val="1A1A1A"/>
          <w:sz w:val="22"/>
          <w:szCs w:val="22"/>
        </w:rPr>
        <w:t xml:space="preserve">The near-uniform distributions across multiple variables (frequency, payment methods, seasons) could indicate a synthetically generated or stratified dataset, which would affect the generalizability of conclusions to real-world scenarios.</w:t>
      </w:r>
    </w:p>
    <w:p>
      <w:pPr>
        <w:pStyle w:val="ListParagraph"/>
        <w:numPr>
          <w:ilvl w:val="0"/>
          <w:numId w:val="2"/>
        </w:numPr>
        <w:spacing w:after="80"/>
      </w:pPr>
      <w:r>
        <w:rPr>
          <w:rFonts w:ascii="Arial" w:cs="Arial" w:eastAsia="Arial" w:hAnsi="Arial"/>
          <w:color w:val="1A1A1A"/>
          <w:sz w:val="22"/>
          <w:szCs w:val="22"/>
        </w:rPr>
        <w:t xml:space="preserve">The Review Rating column had 37 missing values (0.95%) imputed by category median — while minimal, this introduces a small estimation bias.</w:t>
      </w:r>
    </w:p>
    <w:p>
      <w:pPr>
        <w:pStyle w:val="ListParagraph"/>
        <w:numPr>
          <w:ilvl w:val="0"/>
          <w:numId w:val="2"/>
        </w:numPr>
        <w:spacing w:after="80"/>
      </w:pPr>
      <w:r>
        <w:rPr>
          <w:rFonts w:ascii="Arial" w:cs="Arial" w:eastAsia="Arial" w:hAnsi="Arial"/>
          <w:color w:val="1A1A1A"/>
          <w:sz w:val="22"/>
          <w:szCs w:val="22"/>
        </w:rPr>
        <w:t xml:space="preserve">No geographic analysis was conducted despite a Location field being available; regional purchasing pattern analysis is a recommended extension.</w:t>
      </w:r>
    </w:p>
    <w:p>
      <w:pPr>
        <w:spacing w:after="240"/>
      </w:pPr>
    </w:p>
    <w:p>
      <w:r>
        <w:br w:type="page"/>
      </w:r>
    </w:p>
    <w:p>
      <w:pPr>
        <w:pStyle w:val="Heading1"/>
        <w:spacing w:after="160" w:before="320"/>
      </w:pPr>
      <w:r>
        <w:rPr>
          <w:rFonts w:ascii="Arial" w:cs="Arial" w:eastAsia="Arial" w:hAnsi="Arial"/>
          <w:b/>
          <w:bCs/>
          <w:color w:val="1E3A5F"/>
          <w:sz w:val="32"/>
          <w:szCs w:val="32"/>
        </w:rPr>
        <w:t xml:space="preserve">8. Appendix</w:t>
      </w:r>
    </w:p>
    <w:p>
      <w:pPr>
        <w:pStyle w:val="Heading2"/>
        <w:spacing w:after="120" w:before="240"/>
      </w:pPr>
      <w:r>
        <w:rPr>
          <w:rFonts w:ascii="Arial" w:cs="Arial" w:eastAsia="Arial" w:hAnsi="Arial"/>
          <w:b/>
          <w:bCs/>
          <w:color w:val="2E6DA4"/>
          <w:sz w:val="26"/>
          <w:szCs w:val="26"/>
        </w:rPr>
        <w:t xml:space="preserve">Appendix A: Dataset Statistics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2E6DA4" w:sz="1"/>
              <w:left w:val="single" w:color="2E6DA4" w:sz="1"/>
              <w:bottom w:val="single" w:color="2E6DA4" w:sz="1"/>
              <w:right w:val="single" w:color="2E6DA4"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Metric</w:t>
            </w:r>
          </w:p>
        </w:tc>
        <w:tc>
          <w:tcPr>
            <w:tcW w:type="dxa" w:w="5526"/>
            <w:tcBorders>
              <w:top w:val="single" w:color="2E6DA4" w:sz="1"/>
              <w:left w:val="single" w:color="2E6DA4" w:sz="1"/>
              <w:bottom w:val="single" w:color="2E6DA4" w:sz="1"/>
              <w:right w:val="single" w:color="2E6DA4"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Total Records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3,900</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Total Features</w:t>
            </w:r>
          </w:p>
        </w:tc>
        <w:tc>
          <w:tcPr>
            <w:tcW w:type="dxa" w:w="55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18 (17 after Promo Code Used removed)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Age Range</w:t>
            </w:r>
          </w:p>
        </w:tc>
        <w:tc>
          <w:tcPr>
            <w:tcW w:type="dxa" w:w="5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18 – 70 years (Mean: 44.07)</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Purchase Amount Range</w:t>
            </w:r>
          </w:p>
        </w:tc>
        <w:tc>
          <w:tcPr>
            <w:tcW w:type="dxa" w:w="55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$20 – $100 (Mean: $59.76)</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Review Rating Range</w:t>
            </w:r>
          </w:p>
        </w:tc>
        <w:tc>
          <w:tcPr>
            <w:tcW w:type="dxa" w:w="5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2.5 – 5.0 (Mean: 3.75)</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Previous Purchases Range</w:t>
            </w:r>
          </w:p>
        </w:tc>
        <w:tc>
          <w:tcPr>
            <w:tcW w:type="dxa" w:w="55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1 – 50 (Mean: 25.35)</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Missing Values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37 (Review Rating only) — imputed by category median</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Duplicates</w:t>
            </w:r>
          </w:p>
        </w:tc>
        <w:tc>
          <w:tcPr>
            <w:tcW w:type="dxa" w:w="55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None detected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Database</w:t>
            </w:r>
          </w:p>
        </w:tc>
        <w:tc>
          <w:tcPr>
            <w:tcW w:type="dxa" w:w="5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PostgreSQL — table: customer | database: customer_behavior</w:t>
            </w:r>
          </w:p>
        </w:tc>
      </w:tr>
    </w:tbl>
    <w:p>
      <w:pPr>
        <w:spacing w:after="200"/>
      </w:pPr>
    </w:p>
    <w:p>
      <w:pPr>
        <w:pStyle w:val="Heading2"/>
        <w:spacing w:after="120" w:before="240"/>
      </w:pPr>
      <w:r>
        <w:rPr>
          <w:rFonts w:ascii="Arial" w:cs="Arial" w:eastAsia="Arial" w:hAnsi="Arial"/>
          <w:b/>
          <w:bCs/>
          <w:color w:val="2E6DA4"/>
          <w:sz w:val="26"/>
          <w:szCs w:val="26"/>
        </w:rPr>
        <w:t xml:space="preserve">Appendix B: File Inventory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tcBorders>
              <w:top w:val="single" w:color="2E6DA4" w:sz="1"/>
              <w:left w:val="single" w:color="2E6DA4" w:sz="1"/>
              <w:bottom w:val="single" w:color="2E6DA4" w:sz="1"/>
              <w:right w:val="single" w:color="2E6DA4"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File</w:t>
            </w:r>
          </w:p>
        </w:tc>
        <w:tc>
          <w:tcPr>
            <w:tcW w:type="dxa" w:w="4826"/>
            <w:tcBorders>
              <w:top w:val="single" w:color="2E6DA4" w:sz="1"/>
              <w:left w:val="single" w:color="2E6DA4" w:sz="1"/>
              <w:bottom w:val="single" w:color="2E6DA4" w:sz="1"/>
              <w:right w:val="single" w:color="2E6DA4"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customer_shopping_behavior.csv</w:t>
            </w:r>
          </w:p>
        </w:tc>
        <w:tc>
          <w:tcPr>
            <w:tcW w:type="dxa" w:w="4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Raw source dataset (3,900 rows, 18 columns)</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Customer_Shopping_Behavior_Analysis.ipynb</w:t>
            </w:r>
          </w:p>
        </w:tc>
        <w:tc>
          <w:tcPr>
            <w:tcW w:type="dxa" w:w="48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Jupyter Notebook — data pipeline, EDA, and DB integration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Customer_Behavior_Dashboard.pbix</w:t>
            </w:r>
          </w:p>
        </w:tc>
        <w:tc>
          <w:tcPr>
            <w:tcW w:type="dxa" w:w="4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Power BI dashboard file with interactive visualizations</w:t>
            </w:r>
          </w:p>
        </w:tc>
      </w:tr>
    </w:tbl>
    <w:p>
      <w:pPr>
        <w:spacing w:after="200"/>
      </w:pPr>
    </w:p>
    <w:p>
      <w:pPr>
        <w:pStyle w:val="Heading2"/>
        <w:spacing w:after="120" w:before="240"/>
      </w:pPr>
      <w:r>
        <w:rPr>
          <w:rFonts w:ascii="Arial" w:cs="Arial" w:eastAsia="Arial" w:hAnsi="Arial"/>
          <w:b/>
          <w:bCs/>
          <w:color w:val="2E6DA4"/>
          <w:sz w:val="26"/>
          <w:szCs w:val="26"/>
        </w:rPr>
        <w:t xml:space="preserve">Appendix C: Python Libraries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26"/>
      </w:tblGrid>
      <w:tr>
        <w:trPr>
          <w:tblHeader/>
        </w:trPr>
        <w:tc>
          <w:tcPr>
            <w:tcW w:type="dxa" w:w="2800"/>
            <w:tcBorders>
              <w:top w:val="single" w:color="2E6DA4" w:sz="1"/>
              <w:left w:val="single" w:color="2E6DA4" w:sz="1"/>
              <w:bottom w:val="single" w:color="2E6DA4" w:sz="1"/>
              <w:right w:val="single" w:color="2E6DA4"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Library</w:t>
            </w:r>
          </w:p>
        </w:tc>
        <w:tc>
          <w:tcPr>
            <w:tcW w:type="dxa" w:w="2200"/>
            <w:tcBorders>
              <w:top w:val="single" w:color="2E6DA4" w:sz="1"/>
              <w:left w:val="single" w:color="2E6DA4" w:sz="1"/>
              <w:bottom w:val="single" w:color="2E6DA4" w:sz="1"/>
              <w:right w:val="single" w:color="2E6DA4"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Version (Typical)</w:t>
            </w:r>
          </w:p>
        </w:tc>
        <w:tc>
          <w:tcPr>
            <w:tcW w:type="dxa" w:w="4026"/>
            <w:tcBorders>
              <w:top w:val="single" w:color="2E6DA4" w:sz="1"/>
              <w:left w:val="single" w:color="2E6DA4" w:sz="1"/>
              <w:bottom w:val="single" w:color="2E6DA4" w:sz="1"/>
              <w:right w:val="single" w:color="2E6DA4"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pandas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2.x</w:t>
            </w:r>
          </w:p>
        </w:tc>
        <w:tc>
          <w:tcPr>
            <w:tcW w:type="dxa" w:w="4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Data manipulation and analysis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sqlalchemy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2.x</w:t>
            </w:r>
          </w:p>
        </w:tc>
        <w:tc>
          <w:tcPr>
            <w:tcW w:type="dxa" w:w="40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Database ORM and connection management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1A1A1A"/>
                <w:sz w:val="20"/>
                <w:szCs w:val="20"/>
              </w:rPr>
              <w:t xml:space="preserve">psycopg2-binary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2.9.x</w:t>
            </w:r>
          </w:p>
        </w:tc>
        <w:tc>
          <w:tcPr>
            <w:tcW w:type="dxa" w:w="4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1A1A1A"/>
                <w:sz w:val="20"/>
                <w:szCs w:val="20"/>
              </w:rPr>
              <w:t xml:space="preserve">PostgreSQL adapter for Python</w:t>
            </w:r>
          </w:p>
        </w:tc>
      </w:tr>
    </w:tbl>
    <w:p>
      <w:pPr>
        <w:spacing w:after="160"/>
      </w:pPr>
    </w:p>
    <w:p>
      <w:pPr>
        <w:spacing w:before="480"/>
        <w:jc w:val="center"/>
      </w:pPr>
      <w:r>
        <w:rPr>
          <w:rFonts w:ascii="Arial" w:cs="Arial" w:eastAsia="Arial" w:hAnsi="Arial"/>
          <w:i/>
          <w:iCs/>
          <w:color w:val="444444"/>
          <w:sz w:val="22"/>
          <w:szCs w:val="22"/>
        </w:rPr>
        <w:t xml:space="preserve">— End of Report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6" w:space="1"/>
      </w:pBdr>
      <w:tabs>
        <w:tab w:val="right" w:pos="9026"/>
      </w:tabs>
      <w:spacing w:before="80"/>
    </w:pPr>
    <w:r>
      <w:rPr>
        <w:rFonts w:ascii="Arial" w:cs="Arial" w:eastAsia="Arial" w:hAnsi="Arial"/>
        <w:color w:val="444444"/>
        <w:sz w:val="16"/>
        <w:szCs w:val="16"/>
      </w:rPr>
      <w:t xml:space="preserve">Confidential | Data Analytics Team</w:t>
    </w:r>
    <w:r>
      <w:rPr>
        <w:rFonts w:ascii="Arial" w:cs="Arial" w:eastAsia="Arial" w:hAnsi="Arial"/>
        <w:color w:val="444444"/>
        <w:sz w:val="16"/>
        <w:szCs w:val="16"/>
      </w:rPr>
      <w:t xml:space="preserve">	Page </w:t>
    </w:r>
    <w:r>
      <w:rPr>
        <w:rFonts w:ascii="Arial" w:cs="Arial" w:eastAsia="Arial" w:hAnsi="Arial"/>
        <w:color w:val="444444"/>
        <w:sz w:val="16"/>
        <w:szCs w:val="16"/>
      </w:rPr>
      <w:fldChar w:fldCharType="begin"/>
      <w:instrText xml:space="preserve">PAGE</w:instrText>
      <w:fldChar w:fldCharType="separate"/>
      <w:fldChar w:fldCharType="end"/>
    </w:r>
    <w:r>
      <w:rPr>
        <w:rFonts w:ascii="Arial" w:cs="Arial" w:eastAsia="Arial" w:hAnsi="Arial"/>
        <w:color w:val="444444"/>
        <w:sz w:val="16"/>
        <w:szCs w:val="16"/>
      </w:rPr>
      <w:t xml:space="preserve"> of </w:t>
    </w:r>
    <w:r>
      <w:rPr>
        <w:rFonts w:ascii="Arial" w:cs="Arial" w:eastAsia="Arial" w:hAnsi="Arial"/>
        <w:color w:val="44444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6" w:space="1"/>
      </w:pBdr>
      <w:spacing w:after="80"/>
    </w:pPr>
    <w:r>
      <w:rPr>
        <w:rFonts w:ascii="Arial" w:cs="Arial" w:eastAsia="Arial" w:hAnsi="Arial"/>
        <w:color w:val="444444"/>
        <w:sz w:val="18"/>
        <w:szCs w:val="18"/>
      </w:rPr>
      <w:t xml:space="preserve">Customer Shopping Behavior Analysis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2026-06-01T07:11:24.090Z</dcterms:created>
  <dcterms:modified xsi:type="dcterms:W3CDTF">2026-06-01T07:11:24.091Z</dcterms:modified>
</cp:coreProperties>
</file>

<file path=docProps/custom.xml><?xml version="1.0" encoding="utf-8"?>
<Properties xmlns="http://schemas.openxmlformats.org/officeDocument/2006/custom-properties" xmlns:vt="http://schemas.openxmlformats.org/officeDocument/2006/docPropsVTypes"/>
</file>