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7628jfsbo9e" w:id="0"/>
      <w:bookmarkEnd w:id="0"/>
      <w:r w:rsidDel="00000000" w:rsidR="00000000" w:rsidRPr="00000000">
        <w:rPr>
          <w:rtl w:val="0"/>
        </w:rPr>
        <w:t xml:space="preserve">NexWealth AI — Design Decisions vs Traditional Advisor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725"/>
        <w:gridCol w:w="2130"/>
        <w:gridCol w:w="2280"/>
        <w:gridCol w:w="2175"/>
        <w:tblGridChange w:id="0">
          <w:tblGrid>
            <w:gridCol w:w="990"/>
            <w:gridCol w:w="1725"/>
            <w:gridCol w:w="2130"/>
            <w:gridCol w:w="2280"/>
            <w:gridCol w:w="21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advisor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NexWealth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ours is better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questionnaire filled in a 30-min intake; advisor eyeballs a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Two-axis split: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tolerance</w:t>
            </w:r>
            <w:r w:rsidDel="00000000" w:rsidR="00000000" w:rsidRPr="00000000">
              <w:rPr>
                <w:rtl w:val="0"/>
              </w:rPr>
              <w:t xml:space="preserve"> from 5 questionnaire points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  <w:t xml:space="preserve"> from age/income/dependents, blended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0.6·T + 0.4·C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deterministic band. Grable/Lytton-standard framework.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Reproducible under audit; every input logged; no advisor drift between clients. The same customer gets the same band every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planning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Reports one number — either a projected value or a "probability of success" — that collapses a whole distribution to a scalar and reads as false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Funding ratio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Monte-Carlo p10 / p50 / p90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outlook band</w:t>
            </w:r>
            <w:r w:rsidDel="00000000" w:rsidR="00000000" w:rsidRPr="00000000">
              <w:rPr>
                <w:rtl w:val="0"/>
              </w:rPr>
              <w:t xml:space="preserve"> (On track / Uncertain / At risk). Legacy success-probability retained but relabeled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"illustrative"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Users see the </w:t>
            </w:r>
            <w:r w:rsidDel="00000000" w:rsidR="00000000" w:rsidRPr="00000000">
              <w:rPr>
                <w:i w:val="1"/>
                <w:iCs w:val="1"/>
                <w:color w:val="333333"/>
                <w:highlight w:val="white"/>
                <w:rtl w:val="0"/>
              </w:rPr>
              <w:t xml:space="preserve">range</w:t>
            </w: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, not a false-confidence point estimate. Downside is visible, upside is visible, and the funding ratio is a stable headline number even when the probability metric swings hard near the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Journey planners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 plugs numbers into a spreadsheet; no schema, no audit of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 typed tools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plan_retirement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plan_education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plan_home</w:t>
            </w:r>
            <w:r w:rsidDel="00000000" w:rsidR="00000000" w:rsidRPr="00000000">
              <w:rPr>
                <w:rtl w:val="0"/>
              </w:rPr>
              <w:t xml:space="preserve">) with explicit JSON-Schema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  <w:t xml:space="preserve"> lists. PAGE FACTS block includes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goal_inputs</w:t>
            </w:r>
            <w:r w:rsidDel="00000000" w:rsidR="00000000" w:rsidRPr="00000000">
              <w:rPr>
                <w:rtl w:val="0"/>
              </w:rPr>
              <w:t xml:space="preserve"> verbatim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The LLM can only reason over customer-file inputs — it cannot invent numbers. Chat outputs match the Goal Plan tab exactly, and every input a tool consumed is retrievable from the run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"the S&amp;P did 8% historically" quoted from memory; no per-client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5Y CAGR + realized volatility</w:t>
            </w:r>
            <w:r w:rsidDel="00000000" w:rsidR="00000000" w:rsidRPr="00000000">
              <w:rPr>
                <w:rtl w:val="0"/>
              </w:rPr>
              <w:t xml:space="preserve"> from Alpha Vantage weekly closes for the risk-band-matched iShares peer ETF (AOM / AOR / AOA), 24h-cached; hard fallback to illustrative constants; source-badged in the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Defensible in review: "the peer proxy's realized return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computed 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weekly observations." Tooltip explains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this proxy for this band (Morningstar Target Risk category match).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 picks one model, presents it as the 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 options</w:t>
            </w:r>
            <w:r w:rsidDel="00000000" w:rsidR="00000000" w:rsidRPr="00000000">
              <w:rPr>
                <w:rtl w:val="0"/>
              </w:rPr>
              <w:t xml:space="preserve"> centered on the AI-suggested band, each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fit_score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(100 − ½·Σ|current − target|). HITL required: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Approve / Reject / Override</w:t>
            </w:r>
            <w:r w:rsidDel="00000000" w:rsidR="00000000" w:rsidRPr="00000000">
              <w:rPr>
                <w:rtl w:val="0"/>
              </w:rPr>
              <w:t xml:space="preserve"> (different model or custom allocation) with rationale committed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hitl_log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customer sees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neighbourhood</w:t>
            </w:r>
            <w:r w:rsidDel="00000000" w:rsidR="00000000" w:rsidRPr="00000000">
              <w:rPr>
                <w:rtl w:val="0"/>
              </w:rPr>
              <w:t xml:space="preserve">, not one plucked answer. Every commit is auditable. Advisor override is a first-class action, not a shadow decision.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for the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Verbal — quality varies by advisor; no paper trail; hard to audit for 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Grounded LLM rationale</w:t>
            </w:r>
            <w:r w:rsidDel="00000000" w:rsidR="00000000" w:rsidRPr="00000000">
              <w:rPr>
                <w:rtl w:val="0"/>
              </w:rPr>
              <w:t xml:space="preserve">: narrator receives deterministic outputs only (risk band, goal, portfolio, benchmark, recommendation) — never customer PII. Falls back to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 template</w:t>
            </w:r>
            <w:r w:rsidDel="00000000" w:rsidR="00000000" w:rsidRPr="00000000">
              <w:rPr>
                <w:rtl w:val="0"/>
              </w:rPr>
              <w:t xml:space="preserve"> on LLM failure; UI banner shows the exact reason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  <w:t xml:space="preserve">, timeout).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rationale is either grounded on numbers you can trace, or explicitly template-generated with a visible source badge. Never fabricated; never invisible failure.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End-of-day from custodian; if unavailable, the page shows blank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Three-tier fallback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Alpha Vantage live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data/prices/history.csv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(git-diffable) → seed row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2026-07-13</w:t>
            </w:r>
            <w:r w:rsidDel="00000000" w:rsidR="00000000" w:rsidRPr="00000000">
              <w:rPr>
                <w:rtl w:val="0"/>
              </w:rPr>
              <w:t xml:space="preserve"> PDF snapshot). Every price is badged with source + freshness.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  <w:t xml:space="preserve"> renders empty. Reviewers can see whether they're looking at live, cached, or floor data — no silent degradation.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financial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entirely on which advisor answers; no source citation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 RAG</w:t>
            </w:r>
            <w:r w:rsidDel="00000000" w:rsidR="00000000" w:rsidRPr="00000000">
              <w:rPr>
                <w:rtl w:val="0"/>
              </w:rPr>
              <w:t xml:space="preserve"> over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corpus/</w:t>
            </w:r>
            <w:r w:rsidDel="00000000" w:rsidR="00000000" w:rsidRPr="00000000">
              <w:rPr>
                <w:rtl w:val="0"/>
              </w:rPr>
              <w:t xml:space="preserve"> (SEC / IRS / FINRA / glossary), RRF-fused Chroma + BM25. Every answer shows retrieved citations + a tool-call audit trail.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Answers are grounded in real primary sources, not advisor recall. Auditable — hover a citation, land on the exact chunk.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hours; 1 advisor per ~100 clients; scheduled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advisor panel on every page + full FinAdvisor chat. Every turn goes through: propose_change → intent classifier → ReAct loop with 14 tools. 24/7.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calendar friction. Users get real-time answers grounded in their own plan numbers (via PAGE FACTS), not generic replies.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Client-file notes, sometimes; regulatory paper trail buried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Shape-B HITL log</w:t>
            </w:r>
            <w:r w:rsidDel="00000000" w:rsidR="00000000" w:rsidRPr="00000000">
              <w:rPr>
                <w:rtl w:val="0"/>
              </w:rPr>
              <w:t xml:space="preserve"> — one row per pipeline run, opened at recommended time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committed_at NULL</w:t>
            </w:r>
            <w:r w:rsidDel="00000000" w:rsidR="00000000" w:rsidRPr="00000000">
              <w:rPr>
                <w:rtl w:val="0"/>
              </w:rPr>
              <w:t xml:space="preserve">), updated in place on commit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final_choice / final_action / rationale / override_allocation</w:t>
            </w:r>
            <w:r w:rsidDel="00000000" w:rsidR="00000000" w:rsidRPr="00000000">
              <w:rPr>
                <w:rtl w:val="0"/>
              </w:rPr>
              <w:t xml:space="preserve">. Every LLM call's source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llm_error_fallback</w:t>
            </w:r>
            <w:r w:rsidDel="00000000" w:rsidR="00000000" w:rsidRPr="00000000">
              <w:rPr>
                <w:rtl w:val="0"/>
              </w:rPr>
              <w:t xml:space="preserve">) stamped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agent_runs.summary</w:t>
            </w:r>
            <w:r w:rsidDel="00000000" w:rsidR="00000000" w:rsidRPr="00000000">
              <w:rPr>
                <w:rtl w:val="0"/>
              </w:rPr>
              <w:t xml:space="preserve"> JSON.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AI-plus-human decision is one queryable row. Compliance can reconstruct the full path — inputs, model output, human override, rationale — for any recommendation ever made.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Fiduciary duty (aspirational); nothing enforces disclaimer / PII discipline in real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guardrails</w:t>
            </w:r>
            <w:r w:rsidDel="00000000" w:rsidR="00000000" w:rsidRPr="00000000">
              <w:rPr>
                <w:rtl w:val="0"/>
              </w:rPr>
              <w:t xml:space="preserve"> on every emitted markdown: disclaimer appended, PII regex-scrubbed, out-of-scope requests refused before the ReAct loop runs.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 mode is visible, not silent. The one string every emission ends with is legally consistent; there's no "the advisor forgot the disclaimer today".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4la3ten553v9" w:id="1"/>
      <w:bookmarkEnd w:id="1"/>
      <w:r w:rsidDel="00000000" w:rsidR="00000000" w:rsidRPr="00000000">
        <w:rPr>
          <w:rtl w:val="0"/>
        </w:rPr>
        <w:t xml:space="preserve">Honest tradeoffs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Illustrative constants</w:t>
      </w:r>
      <w:r w:rsidDel="00000000" w:rsidR="00000000" w:rsidRPr="00000000">
        <w:rPr>
          <w:rtl w:val="0"/>
        </w:rPr>
        <w:t xml:space="preserve"> for portfolio expected return / volatility are pedagogical, not academically validated. A real fiduciary would use a licensed capital-markets-assumptions set (BlackRock / JPM CMA). We say this explicitly in the UI (</w:t>
      </w:r>
      <w:r w:rsidDel="00000000" w:rsidR="00000000" w:rsidRPr="00000000">
        <w:rPr>
          <w:i w:val="1"/>
          <w:iCs w:val="1"/>
          <w:rtl w:val="0"/>
        </w:rPr>
        <w:t xml:space="preserve">"illustrative"</w:t>
      </w:r>
      <w:r w:rsidDel="00000000" w:rsidR="00000000" w:rsidRPr="00000000">
        <w:rPr>
          <w:rtl w:val="0"/>
        </w:rPr>
        <w:t xml:space="preserve"> label on the success-probability metric).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risk bands, not 5.</w:t>
      </w:r>
      <w:r w:rsidDel="00000000" w:rsidR="00000000" w:rsidRPr="00000000">
        <w:rPr>
          <w:rtl w:val="0"/>
        </w:rPr>
        <w:t xml:space="preserve"> Skipping Conservative/Aggressive-Conservative is a demo simplification. A real product would route a low-capacity retiree into cash-heavy, not "Moderate 60/40."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 CAGR is price-only</w:t>
      </w:r>
      <w:r w:rsidDel="00000000" w:rsidR="00000000" w:rsidRPr="00000000">
        <w:rPr>
          <w:rtl w:val="0"/>
        </w:rPr>
        <w:t xml:space="preserve"> (no dividend reinvestment) — understates AOM/AOR/AOA total return by ~2pp. Called out in the Report note. Directional comparison still valid.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horizon = 60 − age</w:t>
      </w:r>
      <w:r w:rsidDel="00000000" w:rsidR="00000000" w:rsidRPr="00000000">
        <w:rPr>
          <w:rtl w:val="0"/>
        </w:rPr>
        <w:t xml:space="preserve"> as capacity input is coarse — real capacity depends on the goal date, not a demographic constant. Trivial to swap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goal_inputs["target_retirement_age"]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