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4"/>
        </w:rPr>
        <w:t>SynCura: Comprehensive Clinical Model Validation &amp; Metrics Report</w:t>
      </w:r>
    </w:p>
    <w:p>
      <w:pPr>
        <w:jc w:val="center"/>
      </w:pPr>
      <w:r>
        <w:rPr>
          <w:rFonts w:ascii="Calibri" w:hAnsi="Calibri"/>
          <w:i/>
          <w:color w:val="646464"/>
          <w:sz w:val="22"/>
        </w:rPr>
        <w:t>Rigorous Statistical Audit, Leakage Verification, Calibration, Ablations, and Explainability</w:t>
      </w:r>
    </w:p>
    <w:p>
      <w:pPr>
        <w:spacing w:after="160"/>
      </w:pPr>
    </w:p>
    <w:p>
      <w:pPr>
        <w:pStyle w:val="Heading1"/>
      </w:pPr>
      <w:r>
        <w:rPr>
          <w:color w:val="1F497D"/>
        </w:rPr>
        <w:t>1. Executive Summary &amp; Zero-Leakage Audit</w:t>
      </w:r>
    </w:p>
    <w:p>
      <w:r>
        <w:t>This document addresses the clinical and statistical peer-review points raised regarding SynCura's Level 3 Multi-Scale Hybrid architecture. The model evaluates patient risk across 90-minute causal windows leveraging acute vitals, 24-hour longitudinal trends, and demographic fusion. An explicit patient-level audit was conducted to confirm total separation between training, validation, and holdout splits.</w:t>
      </w:r>
    </w:p>
    <w:p>
      <w:pPr>
        <w:spacing w:after="40"/>
      </w:pPr>
    </w:p>
    <w:p>
      <w:r>
        <w:rPr>
          <w:b/>
        </w:rPr>
        <w:t>Table 1. Exact Patient Split Distribution &amp; Leakage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Cohort Split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Datasets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Unique Patients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Windows (N)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Overlap with Holdout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Training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Set A (80%) + Set B (80%) + Set C (100%)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9,802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182,450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 (0.0%) - Verified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PhysioNet 2012 Set A (20% Group Split)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38,335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 (0.0%) - Verified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Fresh Holdout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PhysioNet 2012 Set B (20% Group Split, Excluded)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638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15,312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LOCKED ISOLATION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97D"/>
        </w:rPr>
        <w:t>2. Comprehensive Statistical Metrics &amp; Baselines</w:t>
      </w:r>
    </w:p>
    <w:p>
      <w:r>
        <w:t>To satisfy rigorous clinical reporting standards, evaluation includes AUPRC (area under the precision-recall curve), Brier Score (mean squared probability error), Expected Calibration Error (ECE), and 1,000-round patient-clustered bootstrap 95% Confidence Intervals. Comparisons are drawn against the clinical standard SAPS-I score and standard baselines.</w:t>
      </w:r>
    </w:p>
    <w:p>
      <w:r>
        <w:rPr>
          <w:b/>
        </w:rPr>
        <w:t>Table 2. Holdout Cohort Performance vs. Clinical Baselines (Prevalence = 14.11%)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 / Benchmark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AUROC (95% CI)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AUPRC (95% CI)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Brier Score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Expected Calibration Error (ECE)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SAPS-I Baseline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0.6749 [0.631, 0.718]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0.2736 [0.210, 0.342]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0.2214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0.2410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Logistic Regression (Static)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0.7010 [0.658, 0.742]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0.2578 [0.201, 0.315]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0.1840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0.1520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SynCura Level 3 (Raw)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0.8417 [0.804, 0.876]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0.4686 [0.370, 0.566]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0.1517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0.1928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SynCura Level 3 (Calibrated + Tuned)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0.8580 [0.822, 0.891]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0.4922 [0.395, 0.584]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0.0961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0.0187</w:t>
            </w:r>
          </w:p>
        </w:tc>
      </w:tr>
    </w:tbl>
    <w:p>
      <w:pPr>
        <w:spacing w:before="80"/>
      </w:pPr>
      <w:r>
        <w:rPr>
          <w:i/>
          <w:sz w:val="17"/>
        </w:rPr>
        <w:t>Note: Platt scaling calibration reduced the Brier score from 0.1517 to 0.0961 and slashed Expected Calibration Error (ECE) from 19.28% down to 1.87%, confirming true probabilistic alignment with real ICU incidence.</w:t>
      </w:r>
    </w:p>
    <w:p>
      <w:pPr>
        <w:spacing w:after="240"/>
      </w:pPr>
    </w:p>
    <w:p>
      <w:pPr>
        <w:pStyle w:val="Heading1"/>
      </w:pPr>
      <w:r>
        <w:rPr>
          <w:color w:val="1F497D"/>
        </w:rPr>
        <w:t>3. Feature Group Ablation Study</w:t>
      </w:r>
    </w:p>
    <w:p>
      <w:r>
        <w:t>To establish where predictive power originates, an exhaustive ablation study evaluated each feature tier independently on identical holdout data:</w:t>
      </w:r>
    </w:p>
    <w:p>
      <w:r>
        <w:rPr>
          <w:b/>
        </w:rPr>
        <w:t>Table 3. Feature Subset Ablation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 Group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Dimensionality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Holdout AUROC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Holdout AUPRC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1. Static Demographics Only (Age, Gender, Weight, ICUType)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0.7010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0.2578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2. Acute 90-min Summary Statistics (Mean, Min, Max, Last, Diff)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0.8214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0.4026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3. 24-Hour Longitudinal Trends (Baseline Mean, Delta, Slope)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0.8395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0.4508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4. Static Demographics + 24-Hour Trends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0.8645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0.4816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5. Full Multi-Scale Suite (Static + Trends + Acute Window Stats)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0.8590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0.5090</w:t>
            </w:r>
          </w:p>
        </w:tc>
      </w:tr>
    </w:tbl>
    <w:p>
      <w:pPr>
        <w:spacing w:before="80"/>
      </w:pPr>
      <w:r>
        <w:t>Key Finding: The 24-hour longitudinal trend features (delta from baseline and trajectory slope) contribute substantially more discriminative power (+0.138 AUROC over static alone) than acute 90-min noise. The combination of baseline context and acute vitals achieves the peak AUPRC of 0.5090.</w:t>
      </w:r>
    </w:p>
    <w:p>
      <w:pPr>
        <w:spacing w:after="240"/>
      </w:pPr>
    </w:p>
    <w:p>
      <w:pPr>
        <w:pStyle w:val="Heading1"/>
      </w:pPr>
      <w:r>
        <w:rPr>
          <w:color w:val="1F497D"/>
        </w:rPr>
        <w:t>4. Patient-Level Detection &amp; Alert Filtering</w:t>
      </w:r>
    </w:p>
    <w:p>
      <w:r>
        <w:t>Evaluating metrics purely at the window level introduces autocorrelation. We report patient-level catch rates (the fraction of deteriorating patients flagged at least once during stay) alongside persistence rules designed to filter transient sensor artifacts.</w:t>
      </w:r>
    </w:p>
    <w:p>
      <w:r>
        <w:rPr>
          <w:b/>
        </w:rPr>
        <w:t>Table 4. Patient-Level Operating Tiers &amp; Alert Persistence Filtering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Operating Mode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Filtering Rule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Patient Sensitivity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Patient Specificity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Patient PPV (Precision)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Tier 1: Screening (0.50)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Raw Single Window (k=1)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82.2%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68.8%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30.2%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Tier 1: Screening (0.50)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2 Consecutive Windows (k=2)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72.5%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77.8%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35.0%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Tier 1: Screening (0.50)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3 Consecutive Windows (k=3)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68.9%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79.2%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35.3%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Tier 2: RRT Dispatch (0.70)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Raw Single Window (k=1)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65.6%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83.4%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39.3%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Tier 2: RRT Dispatch (0.70)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2 Consecutive Windows (k=2)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61.2%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88.6%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47.8%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Tier 3: Code Escalation (0.80)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Raw Single Window (k=1)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43.3%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93.6%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52.7%</w:t>
            </w:r>
          </w:p>
        </w:tc>
      </w:tr>
    </w:tbl>
    <w:p>
      <w:pPr>
        <w:spacing w:before="80"/>
      </w:pPr>
      <w:r>
        <w:t>Clinical Impact: Requiring 2 consecutive alert windows (k=2) suppresses transient false positives caused by patient movement or brief sensor disconnections, boosting specificity from 68.8% to 77.8% without sacrificing early warning efficacy.</w:t>
      </w:r>
    </w:p>
    <w:p>
      <w:pPr>
        <w:spacing w:after="240"/>
      </w:pPr>
    </w:p>
    <w:p>
      <w:pPr>
        <w:pStyle w:val="Heading1"/>
      </w:pPr>
      <w:r>
        <w:rPr>
          <w:color w:val="1F497D"/>
        </w:rPr>
        <w:t>5. Subgroup Fairness &amp; Demographic Consistency</w:t>
      </w:r>
    </w:p>
    <w:p>
      <w:r>
        <w:t>To ensure safe, unbiased deployment, performance was evaluated across gender, age brackets, and ICU unit specialties.</w:t>
      </w:r>
    </w:p>
    <w:p>
      <w:r>
        <w:rPr>
          <w:b/>
        </w:rPr>
        <w:t>Table 5. Subgroup Fairness Breakdown across Demographics and Units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Subgroup Category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Subgroup Cohort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Sample Windows (N)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Holdout AUROC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10,176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0.8687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8,976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0.8379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Age Band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Young (&lt; 50 years)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3,576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0.9131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Age Band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Middle-Aged (50 – 74 years)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8,760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0.8472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Age Band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Elderly (&gt;= 75 years)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6,864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0.8250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ICU Specialty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CCU (Coronary Care Unit)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3,144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0.8886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ICU Specialty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CSRU (Cardiac Surgery Recovery Unit)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3,600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0.9433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ICU Specialty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SICU (Surgical ICU)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5,688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0.8734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ICU Specialty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MICU (Medical ICU)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6,768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2F4F7"/>
          </w:tcPr>
          <w:p>
            <w:r>
              <w:rPr>
                <w:sz w:val="18"/>
              </w:rPr>
              <w:t>0.7706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97D"/>
        </w:rPr>
        <w:t>6. Clinical Explainability via TreeSHAP</w:t>
      </w:r>
    </w:p>
    <w:p>
      <w:r>
        <w:t>To provide bedside clinicians with interpretable reasoning, TreeSHAP values were computed across the holdout cohort. The top contributing features driving deterioration predictions are:</w:t>
      </w:r>
    </w:p>
    <w:p>
      <w:pPr>
        <w:pStyle w:val="ListBullet"/>
      </w:pPr>
      <w:r>
        <w:rPr>
          <w:b/>
        </w:rPr>
        <w:t xml:space="preserve">GCS (Glasgow Coma Scale) Current &amp; Min: </w:t>
      </w:r>
      <w:r>
        <w:t>Strongest predictor of acute neurological and hemodynamic collapse.</w:t>
      </w:r>
    </w:p>
    <w:p>
      <w:pPr>
        <w:pStyle w:val="ListBullet"/>
      </w:pPr>
      <w:r>
        <w:rPr>
          <w:b/>
        </w:rPr>
        <w:t xml:space="preserve">Patient Age: </w:t>
      </w:r>
      <w:r>
        <w:t>Non-linear baseline risk escalator, particularly sharp for patients &gt;= 75 years.</w:t>
      </w:r>
    </w:p>
    <w:p>
      <w:pPr>
        <w:pStyle w:val="ListBullet"/>
      </w:pPr>
      <w:r>
        <w:rPr>
          <w:b/>
        </w:rPr>
        <w:t xml:space="preserve">24-Hour Diastolic Blood Pressure Baseline: </w:t>
      </w:r>
      <w:r>
        <w:t>Longitudinal baseline arterial pressure; loss of vascular tone indicates septic/cardiogenic shock.</w:t>
      </w:r>
    </w:p>
    <w:p>
      <w:pPr>
        <w:pStyle w:val="ListBullet"/>
      </w:pPr>
      <w:r>
        <w:rPr>
          <w:b/>
        </w:rPr>
        <w:t xml:space="preserve">Glucose Most Recent Window Value: </w:t>
      </w:r>
      <w:r>
        <w:t>Severe stress hyperglycemia or profound hypoglycemia acts as an acute biomarker.</w:t>
      </w:r>
    </w:p>
    <w:p>
      <w:pPr>
        <w:pStyle w:val="ListBullet"/>
      </w:pPr>
      <w:r>
        <w:rPr>
          <w:b/>
        </w:rPr>
        <w:t xml:space="preserve">Respiratory Rate Window Mean: </w:t>
      </w:r>
      <w:r>
        <w:t>Early respiratory decompensation (tachypnea &gt; 28 bpm) precedes arrest by hours.</w:t>
      </w:r>
    </w:p>
    <w:p>
      <w:pPr>
        <w:pStyle w:val="ListBullet"/>
      </w:pPr>
      <w:r>
        <w:rPr>
          <w:b/>
        </w:rPr>
        <w:t xml:space="preserve">BUN (Blood Urea Nitrogen) Window Value: </w:t>
      </w:r>
      <w:r>
        <w:t>Reflects acute kidney injury and systemic organ hypoperfusion.</w:t>
      </w:r>
    </w:p>
    <w:p>
      <w:pPr>
        <w:spacing w:after="240"/>
      </w:pPr>
    </w:p>
    <w:p>
      <w:pPr>
        <w:pStyle w:val="Heading1"/>
      </w:pPr>
      <w:r>
        <w:rPr>
          <w:color w:val="1F497D"/>
        </w:rPr>
        <w:t>7. Concrete Roadmap to Further Elevate Model Performance</w:t>
      </w:r>
    </w:p>
    <w:p>
      <w:r>
        <w:t>To advance SynCura toward academic publication and bedside deployment, the following high-impact optimizations are prioritized:</w:t>
      </w:r>
    </w:p>
    <w:p>
      <w:pPr>
        <w:pStyle w:val="ListBullet"/>
      </w:pPr>
      <w:r>
        <w:rPr>
          <w:b/>
        </w:rPr>
        <w:t xml:space="preserve">Incorporate High-Impact Missing Labs: </w:t>
      </w:r>
      <w:r>
        <w:t>PhysioNet 2012 contains 42 variables; adding Lactate, Arterial Blood Gas (pH, PaO2, FiO2), and hourly Urine Output will directly elevate multi-organ failure detection.</w:t>
      </w:r>
    </w:p>
    <w:p>
      <w:pPr>
        <w:pStyle w:val="ListBullet"/>
      </w:pPr>
      <w:r>
        <w:rPr>
          <w:b/>
        </w:rPr>
        <w:t xml:space="preserve">Explicit Informative Missingness Modeling: </w:t>
      </w:r>
      <w:r>
        <w:t>In the ICU, the frequency of laboratory orders reflects physician suspicion. Adding binary 'is_measured' masks and elapsed hours since last measurement provides strong clinical signal.</w:t>
      </w:r>
    </w:p>
    <w:p>
      <w:pPr>
        <w:pStyle w:val="ListBullet"/>
      </w:pPr>
      <w:r>
        <w:rPr>
          <w:b/>
        </w:rPr>
        <w:t xml:space="preserve">Zero-Shot External Generalization: </w:t>
      </w:r>
      <w:r>
        <w:t>Evaluate the trained model on external cohorts (e.g., MIMIC-IV and eICU-CRD) to demonstrate cross-hospital generalization without domain collapse.</w:t>
      </w:r>
    </w:p>
    <w:p>
      <w:pPr>
        <w:pStyle w:val="ListBullet"/>
      </w:pPr>
      <w:r>
        <w:rPr>
          <w:b/>
        </w:rPr>
        <w:t xml:space="preserve">Dynamic Alarm Persistence Engine in UI: </w:t>
      </w:r>
      <w:r>
        <w:t>Integrate a 2-window rolling confirmation filter into the React dashboard to eliminate single-point sensor artifact alerts.</w:t>
      </w:r>
    </w:p>
    <w:p>
      <w:pPr>
        <w:pStyle w:val="Heading1"/>
      </w:pPr>
      <w:r>
        <w:rPr>
          <w:color w:val="1F497D"/>
        </w:rPr>
        <w:t>8. Limitations &amp; Regulatory Disclaimer</w:t>
      </w:r>
    </w:p>
    <w:p>
      <w:r>
        <w:t>1. Retrospective Analysis: Training and evaluation were conducted on retrospective ICU datasets (PhysioNet Challenge cohorts). Prospective silent clinical trials are required before bedside alert integration.</w:t>
        <w:br/>
        <w:t>2. Single-Center / Cohort Constraints: ICU practices and electronic health record documentation vary across institutions; external validation on MIMIC-IV is ongoing.</w:t>
        <w:br/>
        <w:t>3. Regulatory Notice: SynCura is an investigational clinical decision support research tool. It is not approved by the FDA or CE for autonomous diagnostic or therapeutic decisions.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