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W w:w="11192" w:type="dxa"/>
        <w:tblInd w:w="-1168" w:type="dxa"/>
        <w:tblLook w:val="04A0" w:firstRow="1" w:lastRow="0" w:firstColumn="1" w:lastColumn="0" w:noHBand="0" w:noVBand="1"/>
      </w:tblPr>
      <w:tblGrid>
        <w:gridCol w:w="1716"/>
        <w:gridCol w:w="1706"/>
        <w:gridCol w:w="1672"/>
        <w:gridCol w:w="2278"/>
        <w:gridCol w:w="3820"/>
      </w:tblGrid>
      <w:tr w:rsidR="004B3E65" ns2:paraId="5261F7C8" ns2:textId="77777777" w:rsidTr="009D1139">
        <w:tc>
          <w:tcPr>
            <w:tcW w:w="1716" w:type="dxa"/>
            <w:shd w:val="clear" w:color="auto" w:fill="BDD7EE"/>
          </w:tcPr>
          <w:p ns2:paraId="11D8AF6C" ns2:textId="77777777" w:rsidR="004B3E65" w:rsidRDefault="002C5FF7">
            <w:r>
              <w:t>Title</w:t>
            </w:r>
          </w:p>
        </w:tc>
        <w:tc>
          <w:tcPr>
            <w:tcW w:w="1706" w:type="dxa"/>
            <w:shd w:val="clear" w:color="auto" w:fill="BDD7EE"/>
          </w:tcPr>
          <w:p ns2:paraId="40CE78DB" ns2:textId="77777777" w:rsidR="004B3E65" w:rsidRDefault="002C5FF7">
            <w:r>
              <w:t>Author Names</w:t>
            </w:r>
          </w:p>
        </w:tc>
        <w:tc>
          <w:tcPr>
            <w:tcW w:w="1672" w:type="dxa"/>
            <w:shd w:val="clear" w:color="auto" w:fill="BDD7EE"/>
          </w:tcPr>
          <w:p ns2:paraId="4BFF535B" ns2:textId="77777777" w:rsidR="004B3E65" w:rsidRDefault="002C5FF7">
            <w:r>
              <w:t>Year</w:t>
            </w:r>
          </w:p>
        </w:tc>
        <w:tc>
          <w:tcPr>
            <w:tcW w:w="2278" w:type="dxa"/>
            <w:shd w:val="clear" w:color="auto" w:fill="BDD7EE"/>
          </w:tcPr>
          <w:p ns2:paraId="1D2DB62F" ns2:textId="77777777" w:rsidR="004B3E65" w:rsidRDefault="002C5FF7">
            <w:r>
              <w:t>Features</w:t>
            </w:r>
          </w:p>
        </w:tc>
        <w:tc>
          <w:tcPr>
            <w:tcW w:w="3820" w:type="dxa"/>
            <w:shd w:val="clear" w:color="auto" w:fill="BDD7EE"/>
          </w:tcPr>
          <w:p ns2:paraId="7DB2E0AB" ns2:textId="77777777" w:rsidR="004B3E65" w:rsidRDefault="002C5FF7">
            <w:r>
              <w:t>Limitations</w:t>
            </w:r>
          </w:p>
        </w:tc>
      </w:tr>
      <w:tr w:rsidR="004B3E65" ns2:paraId="1FF031A7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Development and Validation of a Dynamic Real-Time Risk Prediction Model for ICU Patients Based on Longitudinal Irregular Data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Zheng, Z., Luo, J., Zhu, Y., Du, L., Lan, L., Zhou, X., Yang, X., &amp; Huang, S.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2025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Time-aware bidirectional attention LSTM; hourly dynamic ICU mortality risk from irregular longitudinal EMR (vitals, labs, medications); trained on 176,344 MIMIC-IV stays, cross-validated on eICU-CRD (dynamic AUROC 0.936).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Requires rich multimodal EMR inputs and massive multi-database training; not transferable to a vitals-only streaming deployment.</w:t>
            </w:r>
          </w:p>
        </w:tc>
      </w:tr>
      <w:tr w:rsidR="004B3E65" ns2:paraId="49569B08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Deep learning-based in-hospital mortality prediction using long-term sequential data in ICU patients: a multi-center validation study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Yan, Z., Wang, X., Xu, X., Guo, Y., Chang, W., &amp; He, J.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2026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Five-architecture comparison (LSTM, GRU, RNN, Transformer, Informer) plus stacked ensemble on ICD-sequence and temporal data with multi-center validation; plain LSTM best single model (AUC 0.802).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Depends on ICD-sequence inputs; transformers added nothing over a plain LSTM.</w:t>
            </w:r>
          </w:p>
        </w:tc>
      </w:tr>
      <w:tr w:rsidR="00173096" ns2:paraId="78B5D0D0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Revisiting the potential value of vital signs in the real-time prediction of mortality risk in intensive care unit patients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Wu, Y. et al.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2024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Five vital signs only (SBP, DBP, heart rate, respiratory rate, temperature) for real-time short-window mortality prediction on 33,798 MIMIC-III patients with independent-hospital validation (LSTM AUC 0.9263).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Vitals-only scope on older single-center-era data; high ceiling but limited input richness.</w:t>
            </w:r>
          </w:p>
        </w:tc>
      </w:tr>
      <w:tr w:rsidR="004B3E65" ns2:paraId="2ABAE8C6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Deep Learning to Attend to Risk in ICU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Nguyen, et al.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2017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Signal-level plus temporal-level attention LSTM evaluated on PhysioNet 2012 for ICU mortality — same dataset and task as SynCura; architectural ancestor of the attention-LSTM design.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Early work without modern validation scale, calibration, or deployment evidence.</w:t>
            </w:r>
          </w:p>
        </w:tc>
      </w:tr>
      <w:tr w:rsidR="00173096" ns2:paraId="6554910D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Unlocking the potential of real-time ICU mortality prediction: redefining risk assessment with continuous data recovery (RealMIP)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Xie, P. et al.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2025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Generative real-time imputation of missing vitals/labs; trained across 188 eICU centers, externally validated on MIMIC-IV and SICdb (AUC 0.957-0.968).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Ceiling comes from multi-database scale and generative modelling unreachable for a single-dataset, vitals-only system.</w:t>
            </w:r>
          </w:p>
        </w:tc>
      </w:tr>
      <w:tr w:rsidR="00173096" ns2:paraId="47D1CFF0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Recurrent Neural Networks for Multivariate Time Series with Missing Values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Che, Z., Purushotham, S., Cho, K., Sontag, D., &amp; Liu, Y.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2018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GRU-D: value, missingness mask, time-since-observation, and learnable decay of hidden state; fully causal and streaming-safe treatment of informative missingness.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In-cell complexity; SynCura uses the simpler gap-channel analogue (mask plus delta as extra inputs).</w:t>
            </w:r>
          </w:p>
        </w:tc>
      </w:tr>
      <w:tr w:rsidR="00173096" ns2:paraId="75DE9526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MedFuse: Multiplicative Embedding Fusion for Irregular Clinical Time Series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Hsieh, Y.-H., Chien, T.-J., Huang, C.-K., Sun, S.-H., &amp; Lin, C.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2025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Multiplicative fusion of value and feature-identity embeddings; beats state-of-the-art baselines including SUMMIT, evaluated on PhysioNet 2012, MIMIC-III, and a longitudinal cohort.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Fusion-only change; transfer to SynCura needs an ablation to confirm the gain.</w:t>
            </w:r>
          </w:p>
        </w:tc>
      </w:tr>
      <w:tr w:rsidR="00173096" ns2:paraId="68D6BC8C" ns2:textId="77777777" w:rsidTr="009D1139">
        <w:tc>
          <w:tcPr>
            <w:tcW w:w="1716" w:type="dxa"/>
            <w:shd w:val="clear" w:color="auto" w:fill="E7E6E6"/>
          </w:tcPr>
          <w:p>
            <w:r>
              <w:t xml:space="preserve">Development and external validation of a multimodal artificial intelligence mortality prediction model of critically ill patients using multicenter data</w:t>
            </w:r>
          </w:p>
        </w:tc>
        <w:tc>
          <w:tcPr>
            <w:tcW w:w="1706" w:type="dxa"/>
            <w:shd w:val="clear" w:color="auto" w:fill="E7E6E6"/>
          </w:tcPr>
          <w:p>
            <w:r>
              <w:t xml:space="preserve">Mamandipoor, B., Hsu, C.-N., Krause, M., Schmidt, U. H., &amp; Gabriel, R. A.</w:t>
            </w:r>
          </w:p>
        </w:tc>
        <w:tc>
          <w:tcPr>
            <w:tcW w:w="1672" w:type="dxa"/>
            <w:shd w:val="clear" w:color="auto" w:fill="E7E6E6"/>
          </w:tcPr>
          <w:p>
            <w:r>
              <w:t xml:space="preserve">2026</w:t>
            </w:r>
          </w:p>
        </w:tc>
        <w:tc>
          <w:tcPr>
            <w:tcW w:w="2278" w:type="dxa"/>
            <w:shd w:val="clear" w:color="auto" w:fill="E7E6E6"/>
          </w:tcPr>
          <w:p>
            <w:r>
              <w:t xml:space="preserve">Multimodal model (structured data plus notes plus imaging) on 203,434 admissions across 200+ hospitals; structured-only AUROC 0.92 internal, 0.84-0.92 across eight external institutions.</w:t>
            </w:r>
          </w:p>
        </w:tc>
        <w:tc>
          <w:tcPr>
            <w:tcW w:w="3820" w:type="dxa"/>
            <w:shd w:val="clear" w:color="auto" w:fill="E7E6E6"/>
          </w:tcPr>
          <w:p>
            <w:r>
              <w:t xml:space="preserve">Needs clinical notes, imaging, and 200+ hospitals; sets an honest ceiling rather than a directly comparable system.</w:t>
            </w:r>
          </w:p>
        </w:tc>
      </w:tr>
    </w:tbl>
    <w:p ns2:paraId="110C2738" ns2:textId="77777777" w:rsidR="002C5FF7" w:rsidRDefault="002C5FF7"/>
    <w:sectPr w:rsidR="002C5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002074">
    <w:abstractNumId w:val="8"/>
  </w:num>
  <w:num w:numId="2" w16cid:durableId="1403135834">
    <w:abstractNumId w:val="6"/>
  </w:num>
  <w:num w:numId="3" w16cid:durableId="906646535">
    <w:abstractNumId w:val="5"/>
  </w:num>
  <w:num w:numId="4" w16cid:durableId="1050568126">
    <w:abstractNumId w:val="4"/>
  </w:num>
  <w:num w:numId="5" w16cid:durableId="1013919740">
    <w:abstractNumId w:val="7"/>
  </w:num>
  <w:num w:numId="6" w16cid:durableId="1966421255">
    <w:abstractNumId w:val="3"/>
  </w:num>
  <w:num w:numId="7" w16cid:durableId="719281278">
    <w:abstractNumId w:val="2"/>
  </w:num>
  <w:num w:numId="8" w16cid:durableId="1026104649">
    <w:abstractNumId w:val="1"/>
  </w:num>
  <w:num w:numId="9" w16cid:durableId="10298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096"/>
    <w:rsid w:val="0029639D"/>
    <w:rsid w:val="002C5FF7"/>
    <w:rsid w:val="00326F90"/>
    <w:rsid w:val="004B3E65"/>
    <w:rsid w:val="006C28BD"/>
    <w:rsid w:val="008105CD"/>
    <w:rsid w:val="009D1139"/>
    <w:rsid w:val="00AA1D8D"/>
    <w:rsid w:val="00B47730"/>
    <w:rsid w:val="00CB0664"/>
    <w:rsid w:val="00F15C2E"/>
    <w:rsid w:val="00FC693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C36EF"/>
  <w14:defaultImageDpi w14:val="300"/>
  <w15:docId w15:val="{2ED1B1D9-C340-4FF8-AADB-6F002671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RAIHANA HAIDER</cp:lastModifiedBy>
  <cp:revision>3</cp:revision>
  <dcterms:created xsi:type="dcterms:W3CDTF">2025-11-22T17:14:00Z</dcterms:created>
  <dcterms:modified xsi:type="dcterms:W3CDTF">2026-09-30T09:12:00Z</dcterms:modified>
  <cp:category/>
</cp:coreProperties>
</file>