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365D"/>
          <w:sz w:val="44"/>
        </w:rPr>
        <w:t>SynCura — Predictive ICU Monitoring System</w:t>
      </w:r>
    </w:p>
    <w:p>
      <w:pPr>
        <w:spacing w:before="0" w:after="240"/>
      </w:pPr>
      <w:r>
        <w:rPr>
          <w:rFonts w:ascii="Arial" w:hAnsi="Arial"/>
          <w:color w:val="5C768D"/>
          <w:sz w:val="26"/>
        </w:rPr>
        <w:t>Final Model Performance, Architecture &amp; Validation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Final Architecture</w:t>
              <w:br/>
            </w:r>
            <w:r>
              <w:rPr>
                <w:color w:val="212529"/>
                <w:sz w:val="18"/>
              </w:rPr>
              <w:t>Level 3 Hybrid Ensemble</w:t>
              <w:br/>
              <w:t>(Neural Multi-Scale + LightGBM)</w:t>
            </w:r>
          </w:p>
        </w:tc>
        <w:tc>
          <w:tcPr>
            <w:tcW w:type="dxa" w:w="3312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Cohort Scope</w:t>
              <w:br/>
            </w:r>
            <w:r>
              <w:rPr>
                <w:color w:val="212529"/>
                <w:sz w:val="18"/>
              </w:rPr>
              <w:t>PhysioNet 2012 (Sets A+B+C)</w:t>
              <w:br/>
              <w:t>Challenge 2019 (Sets A+B Pretrain)</w:t>
            </w:r>
          </w:p>
        </w:tc>
        <w:tc>
          <w:tcPr>
            <w:tcW w:type="dxa" w:w="3456"/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1B365D"/>
                <w:sz w:val="19"/>
              </w:rPr>
              <w:t>Target Clinical Label</w:t>
              <w:br/>
            </w:r>
            <w:r>
              <w:rPr>
                <w:color w:val="212529"/>
                <w:sz w:val="18"/>
              </w:rPr>
              <w:t>In-Hospital Mortality Risk</w:t>
              <w:br/>
              <w:t>Causal 90-Min Proximity Windows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2"/>
        </w:rPr>
        <w:t>1. Final Model Architecture</w:t>
      </w:r>
    </w:p>
    <w:p>
      <w:pPr>
        <w:spacing w:after="120"/>
      </w:pPr>
      <w:r>
        <w:t>The final deployed model is the Level 3 Hybrid Clinical Classifier, combining a deep temporal multi-scale neural network with an optimized gradient-boosted tree model. The system predicts in-hospital mortality risk in real time from longitudinal physiological data under strict streaming causality (zero future information leakage).</w:t>
      </w:r>
    </w:p>
    <w:p>
      <w:pPr>
        <w:spacing w:after="200"/>
      </w:pPr>
      <w:r>
        <w:t>• Neural Multi-Scale Stream: 2-layer LSTM (96 hidden units) with additive temporal attention processing the 90-minute acute vital waveforms, fused with an MLP branch encoding 8 static demographic/ICU covariates and 36 longitudinal 24-hour baseline trend features.</w:t>
        <w:br/>
        <w:t>• LightGBM Clinical Stream: Fast, highly regularized gradient-boosted decision tree model trained over 116 engineered clinical parameters (static demographics, multi-scale 24h trends, and window summary statistics).</w:t>
        <w:br/>
        <w:t>• Calibrated Meta-Ensemble: Optimal probability blend of 0.10 × Neural Stream + 0.90 × LightGBM Stream.</w:t>
      </w: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2"/>
        </w:rPr>
        <w:t>2. Performance Metrics Evaluation</w:t>
      </w:r>
    </w:p>
    <w:p>
      <w:pPr>
        <w:spacing w:after="120"/>
      </w:pPr>
      <w:r>
        <w:t>Evaluated on unseen patient records using GroupShuffleSplit patient-level separation. Fresh Holdout represents unseen PhysioNet 2012 Set-B patients with all locked evaluation slices excluded.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880"/>
            <w:shd w:fill="1B365D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Level 1 &amp; 2</w:t>
              <w:br/>
              <w:t>Neural Multi-Scale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Level 3</w:t>
              <w:br/>
              <w:t>LightGBM Tree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Level 3 HYBRID</w:t>
              <w:br/>
              <w:t>(Fresh Holdout)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Level 3 HYBRID</w:t>
              <w:br/>
              <w:t>(Validation Set)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1B365D"/>
                <w:sz w:val="19"/>
              </w:rPr>
              <w:t>AUROC (Discrimination)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0.8284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0.8417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80"/>
                <w:sz w:val="19"/>
              </w:rPr>
              <w:t>0.8432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0.8456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1B365D"/>
                <w:sz w:val="19"/>
              </w:rPr>
              <w:t>Accuracy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71.84%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76.33%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80"/>
                <w:sz w:val="19"/>
              </w:rPr>
              <w:t>76.01%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77.50%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1B365D"/>
                <w:sz w:val="19"/>
              </w:rPr>
              <w:t>Sensitivity / Recall (TPR)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79.72%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76.16%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80"/>
                <w:sz w:val="19"/>
              </w:rPr>
              <w:t>76.48%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74.79%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1B365D"/>
                <w:sz w:val="19"/>
              </w:rPr>
              <w:t>Specificity (TNR)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70.54%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76.35%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80"/>
                <w:sz w:val="19"/>
              </w:rPr>
              <w:t>75.94%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77.98%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1B365D"/>
                <w:sz w:val="19"/>
              </w:rPr>
              <w:t>Precision (PPV)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30.77%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34.60%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80"/>
                <w:sz w:val="19"/>
              </w:rPr>
              <w:t>34.30%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37.76%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1B365D"/>
                <w:sz w:val="19"/>
              </w:rPr>
              <w:t>F1-Score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0.4440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0.4758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008080"/>
                <w:sz w:val="19"/>
              </w:rPr>
              <w:t>0.4736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sz w:val="19"/>
              </w:rPr>
              <w:t>0.5018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2"/>
        </w:rPr>
        <w:t>3. Clinical Operating Points &amp; Decision Thresholds</w:t>
      </w:r>
    </w:p>
    <w:p>
      <w:pPr>
        <w:spacing w:after="120"/>
      </w:pPr>
      <w:r>
        <w:t>To adapt to varying clinical workflows and mitigate alarm fatigue, the final model provides three calibrated operational alerting tiers: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Operating Tier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Alert Threshold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Sensitivity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Specificity</w:t>
            </w:r>
          </w:p>
        </w:tc>
        <w:tc>
          <w:tcPr>
            <w:tcW w:type="dxa" w:w="2736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Clinical Action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1B365D"/>
                <w:sz w:val="18"/>
              </w:rPr>
              <w:t>Tier 1: Ward Screening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0.50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76.48%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75.94%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Routine bedside monitoring; nurse check</w:t>
            </w:r>
          </w:p>
        </w:tc>
      </w:tr>
      <w:tr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1B365D"/>
                <w:sz w:val="18"/>
              </w:rPr>
              <w:t>Tier 2: High Confidence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0.70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48.00%</w:t>
            </w:r>
          </w:p>
        </w:tc>
        <w:tc>
          <w:tcPr>
            <w:tcW w:type="dxa" w:w="15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90.20%</w:t>
            </w:r>
          </w:p>
        </w:tc>
        <w:tc>
          <w:tcPr>
            <w:tcW w:type="dxa" w:w="2736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Rapid Response Team (RRT) assessment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1B365D"/>
                <w:sz w:val="18"/>
              </w:rPr>
              <w:t>Tier 3: Critical Alarm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0.80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25.60%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96.80%</w:t>
            </w:r>
          </w:p>
        </w:tc>
        <w:tc>
          <w:tcPr>
            <w:tcW w:type="dxa" w:w="2736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Urgent ICU physician code escalation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2"/>
        </w:rPr>
        <w:t>4. Training &amp; Pretraining Dataset Scale</w:t>
      </w:r>
    </w:p>
    <w:p>
      <w:pPr>
        <w:spacing w:after="120"/>
      </w:pPr>
      <w:r>
        <w:t>The final model leverages multi-corpus scale-up pretraining followed by expanded supervised training: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18"/>
              </w:rPr>
              <w:t>Datasets Included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Patient Stays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Total Windows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1B365D"/>
                <w:sz w:val="18"/>
              </w:rPr>
              <w:t>Phase 1: Foundation Pretrain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Challenge 2019 Set A + Set B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40,335 stays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956,732 windows</w:t>
            </w:r>
          </w:p>
        </w:tc>
      </w:tr>
      <w:tr>
        <w:tc>
          <w:tcPr>
            <w:tcW w:type="dxa" w:w="3168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1B365D"/>
                <w:sz w:val="18"/>
              </w:rPr>
              <w:t>Phase 2: Supervised Fine-Tuning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PhysioNet 2012 Set A + B + C</w:t>
            </w:r>
          </w:p>
        </w:tc>
        <w:tc>
          <w:tcPr>
            <w:tcW w:type="dxa" w:w="2592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~11,000 stays</w:t>
            </w:r>
          </w:p>
        </w:tc>
        <w:tc>
          <w:tcPr>
            <w:tcW w:type="dxa" w:w="2160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234,868 windows</w:t>
            </w:r>
          </w:p>
        </w:tc>
      </w:tr>
      <w:tr>
        <w:tc>
          <w:tcPr>
            <w:tcW w:type="dxa" w:w="3168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1B365D"/>
                <w:sz w:val="18"/>
              </w:rPr>
              <w:t>Phase 3: Test &amp; Fresh Holdout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PhysioNet 2012 Set B (excl locked)</w:t>
            </w:r>
          </w:p>
        </w:tc>
        <w:tc>
          <w:tcPr>
            <w:tcW w:type="dxa" w:w="2592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800 stays (held-out)</w:t>
            </w:r>
          </w:p>
        </w:tc>
        <w:tc>
          <w:tcPr>
            <w:tcW w:type="dxa" w:w="2160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</w:rPr>
              <w:t>15,312 windows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280" w:after="120"/>
      </w:pPr>
      <w:r>
        <w:rPr>
          <w:rFonts w:ascii="Arial" w:hAnsi="Arial"/>
          <w:b/>
          <w:color w:val="1B365D"/>
          <w:sz w:val="32"/>
        </w:rPr>
        <w:t>5. Clinical Feature Architecture (116 Parameters)</w:t>
      </w:r>
    </w:p>
    <w:p>
      <w:pPr>
        <w:spacing w:after="120"/>
      </w:pPr>
      <w:r>
        <w:t>• Core Dynamic Physiological Vitals &amp; Labs (12 features × 90 min = 1,080 timesteps):</w:t>
        <w:br/>
        <w:t xml:space="preserve">   Heart Rate (HR), Respiratory Rate (RespRate), Temperature (Temp), Systolic Blood Pressure (NISysABP),</w:t>
        <w:br/>
        <w:t xml:space="preserve">   Diastolic Blood Pressure (NIDiasABP), SpO2, Glasgow Coma Scale (GCS), Blood Urea Nitrogen (BUN),</w:t>
        <w:br/>
        <w:t xml:space="preserve">   Serum Creatinine, White Blood Cell Count (WBC), Platelets, and Serum Glucose.</w:t>
        <w:br/>
        <w:br/>
        <w:t>• Static Patient Demographics &amp; Unit Context (8 features):</w:t>
        <w:br/>
        <w:t xml:space="preserve">   Age, Gender, Height, Weight, and 4-unit One-Hot Admission Types (CCU, CSRU, MICU, SICU).</w:t>
        <w:br/>
        <w:br/>
        <w:t>• Longitudinal 24-Hour Multi-Scale Trend Features (36 features):</w:t>
        <w:br/>
        <w:t xml:space="preserve">   Baseline 24-hour mean, acute delta (window mean - baseline mean), and linear trajectory slope per vital.</w:t>
        <w:br/>
        <w:br/>
        <w:t>• Tabular Window Summary Statistics (72 features):</w:t>
        <w:br/>
        <w:t xml:space="preserve">   Mean, minimum, maximum, standard deviation, last observed value, and window delta (last - first) per vital.</w:t>
      </w:r>
    </w:p>
    <w:p>
      <w:pPr>
        <w:spacing w:after="240"/>
      </w:pPr>
    </w:p>
    <w:p>
      <w:pPr>
        <w:jc w:val="center"/>
      </w:pPr>
      <w:r>
        <w:rPr>
          <w:i/>
          <w:color w:val="5C768D"/>
          <w:sz w:val="17"/>
        </w:rPr>
        <w:t>SynCura Clinical Research Prototype — Confidential &amp; Proprietary Medical AI Documentation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