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19"/>
        </w:rPr>
        <w:t>DOKUMEN PANDUAN TEKNIS &amp; NASKAH PRESENTASI</w:t>
      </w:r>
    </w:p>
    <w:p>
      <w:pPr>
        <w:spacing w:before="40" w:after="80"/>
      </w:pPr>
      <w:r>
        <w:rPr>
          <w:rFonts w:ascii="Calibri" w:hAnsi="Calibri"/>
          <w:b/>
          <w:color w:val="003366"/>
          <w:sz w:val="40"/>
        </w:rPr>
        <w:t>Naskah Lengkap Presentasi Backoffice &amp; Arsitektur Admin PLN DIGI</w:t>
      </w:r>
    </w:p>
    <w:p>
      <w:pPr>
        <w:spacing w:before="0" w:after="240"/>
      </w:pPr>
      <w:r>
        <w:rPr>
          <w:rFonts w:ascii="Calibri" w:hAnsi="Calibri"/>
          <w:color w:val="46505F"/>
          <w:sz w:val="22"/>
        </w:rPr>
        <w:t>Panduan Komprehensif Penyampaian Materi, Alur Data, dan Implementasi Kode untuk Dewan Juri</w:t>
      </w:r>
    </w:p>
    <w:tbl>
      <w:tblPr>
        <w:tblW w:type="auto" w:w="0"/>
        <w:jc w:val="center"/>
        <w:tblLook w:firstColumn="1" w:firstRow="1" w:lastColumn="0" w:lastRow="0" w:noHBand="0" w:noVBand="1" w:val="04A0"/>
      </w:tblPr>
      <w:tblGrid>
        <w:gridCol w:w="4680"/>
        <w:gridCol w:w="4680"/>
      </w:tblGrid>
      <w:tr>
        <w:tc>
          <w:tcPr>
            <w:tcW w:type="dxa" w:w="2880"/>
            <w:shd w:fill="F1F5F9"/>
          </w:tcPr>
          <w:p>
            <w:pPr>
              <w:spacing w:before="50" w:after="50"/>
            </w:pPr>
            <w:r>
              <w:rPr>
                <w:rFonts w:ascii="Calibri" w:hAnsi="Calibri"/>
                <w:b/>
                <w:color w:val="003366"/>
                <w:sz w:val="19"/>
              </w:rPr>
              <w:t>Presenter</w:t>
            </w:r>
          </w:p>
        </w:tc>
        <w:tc>
          <w:tcPr>
            <w:tcW w:type="dxa" w:w="6480"/>
            <w:shd w:fill="FFFFFF"/>
          </w:tcPr>
          <w:p>
            <w:pPr>
              <w:spacing w:before="50" w:after="50"/>
            </w:pPr>
            <w:r>
              <w:rPr>
                <w:rFonts w:ascii="Calibri" w:hAnsi="Calibri"/>
                <w:color w:val="141923"/>
                <w:sz w:val="19"/>
              </w:rPr>
              <w:t>M. Hafizh Wijdan (@202431005_M Hafizh Wijdan)</w:t>
            </w:r>
          </w:p>
        </w:tc>
      </w:tr>
      <w:tr>
        <w:tc>
          <w:tcPr>
            <w:tcW w:type="dxa" w:w="2880"/>
            <w:shd w:fill="F1F5F9"/>
          </w:tcPr>
          <w:p>
            <w:pPr>
              <w:spacing w:before="50" w:after="50"/>
            </w:pPr>
            <w:r>
              <w:rPr>
                <w:rFonts w:ascii="Calibri" w:hAnsi="Calibri"/>
                <w:b/>
                <w:color w:val="003366"/>
                <w:sz w:val="19"/>
              </w:rPr>
              <w:t>Tanggung Jawab Modul</w:t>
            </w:r>
          </w:p>
        </w:tc>
        <w:tc>
          <w:tcPr>
            <w:tcW w:type="dxa" w:w="6480"/>
            <w:shd w:fill="FFFFFF"/>
          </w:tcPr>
          <w:p>
            <w:pPr>
              <w:spacing w:before="50" w:after="50"/>
            </w:pPr>
            <w:r>
              <w:rPr>
                <w:rFonts w:ascii="Calibri" w:hAnsi="Calibri"/>
                <w:color w:val="141923"/>
                <w:sz w:val="19"/>
              </w:rPr>
              <w:t>Backoffice Command Center, CRM Pelanggan, Intelligent Operations, AI Document Engine</w:t>
            </w:r>
          </w:p>
        </w:tc>
      </w:tr>
      <w:tr>
        <w:tc>
          <w:tcPr>
            <w:tcW w:type="dxa" w:w="2880"/>
            <w:shd w:fill="F1F5F9"/>
          </w:tcPr>
          <w:p>
            <w:pPr>
              <w:spacing w:before="50" w:after="50"/>
            </w:pPr>
            <w:r>
              <w:rPr>
                <w:rFonts w:ascii="Calibri" w:hAnsi="Calibri"/>
                <w:b/>
                <w:color w:val="003366"/>
                <w:sz w:val="19"/>
              </w:rPr>
              <w:t>Alokasi Presentasi</w:t>
            </w:r>
          </w:p>
        </w:tc>
        <w:tc>
          <w:tcPr>
            <w:tcW w:type="dxa" w:w="6480"/>
            <w:shd w:fill="FFFFFF"/>
          </w:tcPr>
          <w:p>
            <w:pPr>
              <w:spacing w:before="50" w:after="50"/>
            </w:pPr>
            <w:r>
              <w:rPr>
                <w:rFonts w:ascii="Calibri" w:hAnsi="Calibri"/>
                <w:color w:val="141923"/>
                <w:sz w:val="19"/>
              </w:rPr>
              <w:t>4 Slide Penuh (Bagian Admin / Sistem Operasional)</w:t>
            </w:r>
          </w:p>
        </w:tc>
      </w:tr>
      <w:tr>
        <w:tc>
          <w:tcPr>
            <w:tcW w:type="dxa" w:w="2880"/>
            <w:shd w:fill="F1F5F9"/>
          </w:tcPr>
          <w:p>
            <w:pPr>
              <w:spacing w:before="50" w:after="50"/>
            </w:pPr>
            <w:r>
              <w:rPr>
                <w:rFonts w:ascii="Calibri" w:hAnsi="Calibri"/>
                <w:b/>
                <w:color w:val="003366"/>
                <w:sz w:val="19"/>
              </w:rPr>
              <w:t>Estimasi Durasi</w:t>
            </w:r>
          </w:p>
        </w:tc>
        <w:tc>
          <w:tcPr>
            <w:tcW w:type="dxa" w:w="6480"/>
            <w:shd w:fill="FFFFFF"/>
          </w:tcPr>
          <w:p>
            <w:pPr>
              <w:spacing w:before="50" w:after="50"/>
            </w:pPr>
            <w:r>
              <w:rPr>
                <w:rFonts w:ascii="Calibri" w:hAnsi="Calibri"/>
                <w:color w:val="141923"/>
                <w:sz w:val="19"/>
              </w:rPr>
              <w:t>4 Hingga 5 Menit (Panjang &amp; Mendalam)</w:t>
            </w:r>
          </w:p>
        </w:tc>
      </w:tr>
      <w:tr>
        <w:tc>
          <w:tcPr>
            <w:tcW w:type="dxa" w:w="2880"/>
            <w:shd w:fill="F1F5F9"/>
          </w:tcPr>
          <w:p>
            <w:pPr>
              <w:spacing w:before="50" w:after="50"/>
            </w:pPr>
            <w:r>
              <w:rPr>
                <w:rFonts w:ascii="Calibri" w:hAnsi="Calibri"/>
                <w:b/>
                <w:color w:val="003366"/>
                <w:sz w:val="19"/>
              </w:rPr>
              <w:t>Stack Backend &amp; Data</w:t>
            </w:r>
          </w:p>
        </w:tc>
        <w:tc>
          <w:tcPr>
            <w:tcW w:type="dxa" w:w="6480"/>
            <w:shd w:fill="FFFFFF"/>
          </w:tcPr>
          <w:p>
            <w:pPr>
              <w:spacing w:before="50" w:after="50"/>
            </w:pPr>
            <w:r>
              <w:rPr>
                <w:rFonts w:ascii="Calibri" w:hAnsi="Calibri"/>
                <w:color w:val="141923"/>
                <w:sz w:val="19"/>
              </w:rPr>
              <w:t>Laravel 13 MVC, MySQL 3NF Normalized, Eloquent Eager Loading, Alpine.js, Native CSS Print Engine</w:t>
            </w:r>
          </w:p>
        </w:tc>
      </w:tr>
    </w:tbl>
    <w:p>
      <w:pPr>
        <w:spacing w:after="16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0: TRANSISI ESTAFET &amp; PEMBUKA MASALAH OPERASIONAL </w:t>
            </w:r>
            <w:r>
              <w:rPr>
                <w:rFonts w:ascii="Calibri" w:hAnsi="Calibri"/>
                <w:b/>
                <w:color w:val="F0C850"/>
                <w:sz w:val="20"/>
              </w:rPr>
              <w:t>[Durasi: ~25 Detik]</w:t>
            </w:r>
          </w:p>
        </w:tc>
      </w:tr>
    </w:tbl>
    <w:p>
      <w:pPr>
        <w:spacing w:after="40"/>
      </w:pPr>
    </w:p>
    <w:p>
      <w:pPr>
        <w:spacing w:before="80" w:after="40"/>
      </w:pPr>
      <w:r>
        <w:rPr>
          <w:rFonts w:ascii="Calibri" w:hAnsi="Calibri"/>
          <w:b/>
          <w:color w:val="46505F"/>
          <w:sz w:val="20"/>
        </w:rPr>
        <w:t>Naskah Pengantar (Transisi dari Rekan Tim ke Sesi Hafizh):</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Terima kasih atas pemaparan komprehensif dari rekan saya mengenai perancangan antarmuka dan pengalaman pengguna di sisi publik.</w:t>
              <w:br/>
              <w:br/>
              <w:t>Selamat pagi/siang kepada Bapak dan Ibu Dewan Juri yang saya hormati. Nama saya M. Hafizh Wijdan, dan saya bertanggung jawab atas perancangan arsitektur backoffice, integritas basis data, serta modul operasional admin pada platform PLN DIGI.</w:t>
              <w:br/>
              <w:br/>
              <w:t>Di ranah industri utilitas kelistrikan berskala nasional, antarmuka pelanggan yang menarik hanyalah sebagian kecil dari ekosistem digital. Pertanyaan terbesarnya adalah: bagaimana sistem di balik layar mampu menangani konsistensi finansial dari ratusan ribu transaksi, mengklasifikasi penagihan pelanggan yang menunggak secara otomatis, melakukan triase pemadaman darurat, serta menerbitkan dokumen hukum kedinasan resmi tanpa celah kesalahan manusia? Dalam empat slide ke depan, saya akan membedah bagaimana Backoffice Command Center PLN DIGI menjawab seluruh tantangan teknis dan operasional tersebut secara terukur.</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1: SLIDE 1 - BACKOFFICE COMMAND CENTER &amp; MANAJEMEN CRM PELANGGAN </w:t>
            </w:r>
            <w:r>
              <w:rPr>
                <w:rFonts w:ascii="Calibri" w:hAnsi="Calibri"/>
                <w:b/>
                <w:color w:val="F0C850"/>
                <w:sz w:val="20"/>
              </w:rPr>
              <w:t>[Durasi: ~60 Detik]</w:t>
            </w:r>
          </w:p>
        </w:tc>
      </w:tr>
    </w:tbl>
    <w:p>
      <w:pPr>
        <w:spacing w:after="40"/>
      </w:pPr>
    </w:p>
    <w:p>
      <w:pPr>
        <w:spacing w:before="80" w:after="40"/>
      </w:pPr>
      <w:r>
        <w:rPr>
          <w:rFonts w:ascii="Calibri" w:hAnsi="Calibri"/>
          <w:b/>
          <w:color w:val="46505F"/>
          <w:sz w:val="20"/>
        </w:rPr>
        <w:t>Naskah Penjelasan Slide 1:</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Kita mengawali pembahasan dari Slide pertama, yaitu Backoffice Command Center. Pada sistem utilitas konvensional, tantangan klasik yang selalu dihadapi adalah fragmentasi data atau data silos—di mana data pembayaran tagihan, pencatatan meter, dan laporan gangguan tersimpan pada modul yang terpisah-pisah sehingga menyulitkan proses audit berkala.</w:t>
              <w:br/>
              <w:br/>
              <w:t>Di PLN DIGI, kami membangun dashboard ini sebagai Single Source of Truth bagi manajemen dan staf operasional. Melalui satu antarmuka terpusat, sistem menyajikan agregasi metrik secara real-time: total pelanggan aktif, total pendapatan berhasil per hari, akumulasi tagihan belum lunas beserta total piutang, status penanganan tiket gangguan yang sedang berjalan, hingga antrean verifikasi mandiri SwaCAM.</w:t>
              <w:br/>
              <w:br/>
              <w:t>Admin memiliki visibilitas 360 derajat terhadap data master pelanggan lintas golongan tarif—mulai dari golongan Rumah Tangga subsidi 450 VA dan 900 VA, tarif reguler R1 1300 VA dan 2200 VA, hingga tarif Bisnis dan Industri menengah ke atas. Seluruh riwayat transaksi pembayaran tagihan maupun pembelian token prabayar terhubung secara relasional ke akun pelanggan bersangkutan.</w:t>
              <w:br/>
              <w:br/>
              <w:t>Dari aspek keamanan sistem, rute backoffice /admin diproteksi penuh oleh arsitektur Role-Based Access Control (RBAC) melalui custom middleware. Session pengguna biasa yang mencoba mengakses endpoint administrasi secara ilegal akan langsung diintersepsi dan dialihkan dengan kode respon otorisasi yang aman.</w:t>
            </w:r>
          </w:p>
        </w:tc>
      </w:tr>
    </w:tbl>
    <w:p>
      <w:pPr>
        <w:spacing w:after="80"/>
      </w:pPr>
    </w:p>
    <w:p>
      <w:pPr>
        <w:spacing w:before="80" w:after="40"/>
      </w:pPr>
      <w:r>
        <w:rPr>
          <w:rFonts w:ascii="Calibri" w:hAnsi="Calibri"/>
          <w:b/>
          <w:color w:val="003366"/>
          <w:sz w:val="19"/>
        </w:rPr>
        <w:t>Referensi Implementasi Kode: Agregasi Metrik Finansial &amp; Eager Loading Transaksi</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F1F5F9"/>
                <w:sz w:val="17"/>
              </w:rPr>
              <w:t>public function dashboard()</w:t>
              <w:br/>
              <w:t>{</w:t>
              <w:br/>
              <w:t xml:space="preserve">    $stats = [</w:t>
              <w:br/>
              <w:t xml:space="preserve">        'total_pelanggan'     =&gt; Customer::count(),</w:t>
              <w:br/>
              <w:t xml:space="preserve">        'pendapatan'          =&gt; Transaction::where('status', 'success')-&gt;sum('amount'),</w:t>
              <w:br/>
              <w:t xml:space="preserve">        'tagihan_belum_lunas' =&gt; Bill::whereIn('status', ['unpaid', 'overdue'])-&gt;count(),</w:t>
              <w:br/>
              <w:t xml:space="preserve">        'total_piutang'       =&gt; Bill::whereIn('status', ['unpaid', 'overdue'])-&gt;sum('total_biaya')</w:t>
              <w:br/>
              <w:t xml:space="preserve">                                 + Bill::whereIn('status', ['unpaid', 'overdue'])-&gt;sum('denda'),</w:t>
              <w:br/>
              <w:t xml:space="preserve">        'gangguan_aktif'      =&gt; OutageReport::whereIn('status', ['dilaporkan', 'diproses'])-&gt;count(),</w:t>
              <w:br/>
              <w:t xml:space="preserve">    ];</w:t>
              <w:br/>
              <w:br/>
              <w:t xml:space="preserve">    $recentTransactions = Transaction::with(['user', 'customer', 'paymentMethod'])</w:t>
              <w:br/>
              <w:t xml:space="preserve">        -&gt;latest()-&gt;take(8)-&gt;get();</w:t>
              <w:br/>
              <w:br/>
              <w:t xml:space="preserve">    return view('admin.dashboard', compact('stats', 'recentTransactions'));</w:t>
              <w:br/>
              <w:t>}</w:t>
            </w:r>
          </w:p>
        </w:tc>
      </w:tr>
    </w:tbl>
    <w:p>
      <w:pPr>
        <w:spacing w:before="40" w:after="160"/>
      </w:pPr>
      <w:r>
        <w:rPr>
          <w:rFonts w:ascii="Calibri" w:hAnsi="Calibri"/>
          <w:color w:val="46505F"/>
          <w:sz w:val="18"/>
        </w:rPr>
        <w:t>Catatan Teknis Arsitektur: Metode with(['user', 'customer', 'paymentMethod']) menerapkan teknik Eager Loading pada Eloquent ORM. Hal ini secara fundamental mengeliminasi permasalahan N+1 Query, menjaga waktu eksekusi database tetap berada di bawah 50 milidetik meskipun volume transaksi terus bertambah.</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2: SLIDE 2 - INTELLIGENT OPERATIONS: PENAGIHAN BERTINGKAT &amp; TRIASE LAPANGAN </w:t>
            </w:r>
            <w:r>
              <w:rPr>
                <w:rFonts w:ascii="Calibri" w:hAnsi="Calibri"/>
                <w:b/>
                <w:color w:val="F0C850"/>
                <w:sz w:val="20"/>
              </w:rPr>
              <w:t>[Durasi: ~75 Detik]</w:t>
            </w:r>
          </w:p>
        </w:tc>
      </w:tr>
    </w:tbl>
    <w:p>
      <w:pPr>
        <w:spacing w:after="40"/>
      </w:pPr>
    </w:p>
    <w:p>
      <w:pPr>
        <w:spacing w:before="80" w:after="40"/>
      </w:pPr>
      <w:r>
        <w:rPr>
          <w:rFonts w:ascii="Calibri" w:hAnsi="Calibri"/>
          <w:b/>
          <w:color w:val="46505F"/>
          <w:sz w:val="20"/>
        </w:rPr>
        <w:t>Naskah Penjelasan Slide 2:</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Melangkah ke Slide kedua, kami merancang agar dashboard admin tidak bersikap pasif hanya menampilkan baris tabel, melainkan aktif menjalankan business logic operasional PLN secara otomatis. Modul Intelligent Operations ini ditopang oleh tiga pilar utama:</w:t>
              <w:br/>
              <w:br/>
              <w:t>Pilar pertama adalah Aging Overdue Matrix untuk manajemen tagihan pascabayar. Siklus tagihan listrik PLN memiliki batasan ketat: tanggal 20 merupakan batas akhir pembayaran setiap bulannya. Controller kami menerapkan query scope dinamis berbasis tanggal server. Setiap rekening yang melewati tanggal 20 otomatis berpindah ke status Overdue, disertai kalkulasi denda keterlambatan secara otomatis. Sistem kemudian memetakan pelanggan tersebut ke dalam pipeline penagihan bertingkat: dimulai dari Surat Peringatan 1 (SP-1) untuk penunggakan awal, Surat Peringatan 2 (SP-2) untuk penunggakan berulang, hingga penerbitan Surat Perintah Kerja (SPK) untuk pemutusan sementara instalasi kelistrikan.</w:t>
              <w:br/>
              <w:br/>
              <w:t>Pilar kedua adalah Otomasi Triase Tiket YANTEK (Pelayanan Teknik). Ketika pelanggan mengajukan laporan padam atau kendala teknis dari smartphone mereka, sistem secara otomatis mengevaluasi atribut laporan. Laporan berkategori padam total satu kawasan atau korsleting listrik berpotensi kebakaran langsung diklasifikasikan ke status prioritas 'Kritis'. Tiket kritis ini otomatis diposisikan pada antrean paling atas dashboard agar supervisor dapat segera melakukan dispatch teknisi lapangan dengan Mean Time to Respond (MTTR) yang jauh lebih cepat.</w:t>
              <w:br/>
              <w:br/>
              <w:t>Pilar ketiga adalah Verifikasi Anomali SwaCAM (Catat Meter Mandiri). Pelanggan pascabayar mengirimkan angka stand meteran tiap akhir bulan. Algoritma kami memvalidasi konsumsi kWh tersebut terhadap riwayat historis pelanggan. Apabila ditemukan lonjakan ekstrem di atas 400 kWh untuk golongan rumah tangga kecil, atau jika angka stand meter tercatat lebih rendah dari bulan sebelumnya (indikasi kerusakan meteran atau pembacaan keliru), record tersebut secara otomatis diberi tanda anomali untuk diaudit fisik sebelum draf tagihan bulanan diterbitkan ke konsumen. Mekanisme ini merupakan bentuk nyata proteksi Revenue Assurance bagi perusahaan dan perlindungan hak konsumen.</w:t>
            </w:r>
          </w:p>
        </w:tc>
      </w:tr>
    </w:tbl>
    <w:p>
      <w:pPr>
        <w:spacing w:after="80"/>
      </w:pPr>
    </w:p>
    <w:p>
      <w:pPr>
        <w:spacing w:before="80" w:after="40"/>
      </w:pPr>
      <w:r>
        <w:rPr>
          <w:rFonts w:ascii="Calibri" w:hAnsi="Calibri"/>
          <w:b/>
          <w:color w:val="003366"/>
          <w:sz w:val="19"/>
        </w:rPr>
        <w:t>Referensi Implementasi Kode: Query Scope Evaluasi Overdue &amp; Triase Severity Insiden</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F1F5F9"/>
                <w:sz w:val="17"/>
              </w:rPr>
              <w:t>// Evaluasi Otomatis Status Overdue Berbasis Tanggal Server</w:t>
              <w:br/>
              <w:t>$query-&gt;where(function ($q) {</w:t>
              <w:br/>
              <w:t xml:space="preserve">    $q-&gt;where('status', 'overdue')</w:t>
              <w:br/>
              <w:t xml:space="preserve">      -&gt;orWhere(function ($sub) {</w:t>
              <w:br/>
              <w:t xml:space="preserve">          $sub-&gt;where('status', 'unpaid')</w:t>
              <w:br/>
              <w:t xml:space="preserve">              -&gt;where('tanggal_jatuh_tempo', '&lt;', now()-&gt;toDateString());</w:t>
              <w:br/>
              <w:t xml:space="preserve">      });</w:t>
              <w:br/>
              <w:t>});</w:t>
              <w:br/>
              <w:br/>
              <w:t>// Agregasi Status Tiket Kritis YANTEK</w:t>
              <w:br/>
              <w:t>$summary['kritis'] = OutageReport::whereIn('kategori', ['padam_total', 'korsleting'])</w:t>
              <w:br/>
              <w:t xml:space="preserve">    -&gt;whereIn('status', ['dilaporkan', 'diproses'])</w:t>
              <w:br/>
              <w:t xml:space="preserve">    -&gt;count();</w:t>
            </w:r>
          </w:p>
        </w:tc>
      </w:tr>
    </w:tbl>
    <w:p>
      <w:pPr>
        <w:spacing w:before="40" w:after="160"/>
      </w:pPr>
      <w:r>
        <w:rPr>
          <w:rFonts w:ascii="Calibri" w:hAnsi="Calibri"/>
          <w:color w:val="46505F"/>
          <w:sz w:val="18"/>
        </w:rPr>
        <w:t>Catatan Teknis Arsitektur: Evaluasi status tagihan dilakukan pada level query database, bukan kalkulasi manual di memori PHP. Ini menjamin data tunggakan selalu valid, sinkron, dan siap dijadikan dasar berkas hukum penagihan secara real-time.</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3: SLIDE 3 - OFFICIAL DOCUMENT GENERATOR &amp; INTEGRASI AI AGENT </w:t>
            </w:r>
            <w:r>
              <w:rPr>
                <w:rFonts w:ascii="Calibri" w:hAnsi="Calibri"/>
                <w:b/>
                <w:color w:val="F0C850"/>
                <w:sz w:val="20"/>
              </w:rPr>
              <w:t>[Durasi: ~75 Detik]</w:t>
            </w:r>
          </w:p>
        </w:tc>
      </w:tr>
    </w:tbl>
    <w:p>
      <w:pPr>
        <w:spacing w:after="40"/>
      </w:pPr>
    </w:p>
    <w:p>
      <w:pPr>
        <w:spacing w:before="80" w:after="40"/>
      </w:pPr>
      <w:r>
        <w:rPr>
          <w:rFonts w:ascii="Calibri" w:hAnsi="Calibri"/>
          <w:b/>
          <w:color w:val="46505F"/>
          <w:sz w:val="20"/>
        </w:rPr>
        <w:t>Naskah Penjelasan Slide 3:</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Pada Slide ketiga, kami mempersembahkan salah satu inovasi paling signifikan dalam efisiensi birokrasi operasional PLN, yaitu Official Document Generator &amp; AI Agent Ready System.</w:t>
              <w:br/>
              <w:br/>
              <w:t>Di unit layanan PLN konvensional, pembuatan naskah kedinasan seperti surat penagihan, surat pemutusan, atau surat tugas lapangan sering kali masih diketik secara manual menggunakan pengolah kata. Staf harus mencari nomor pelanggan, menyalin rincian rupiah tunggakan, merumuskan nomor surat dinas, dan mencetaknya lembar per lembar. Proses ini tidak hanya menyita waktu berjam-jam, namun rawan terhadap kesalahan ketik nominal yang berisiko pada sengketa hukum konsumen.</w:t>
              <w:br/>
              <w:br/>
              <w:t>Pada sistem yang kami bangun, seluruh proses tersebut dipangkas menjadi satu detik. Staf administrasi hanya perlu memilih pelanggan atau nomor tiket gangguan, dan sistem secara otomatis mengenerate naskah dinas resmi siap cetak.</w:t>
              <w:br/>
              <w:br/>
              <w:t>Terdapat empat format naskah dinas standar BUMN yang telah terintegrasi penuh: Surat Peringatan 1 (SP-1), Surat Peringatan 2 (SP-2), Surat Perintah Kerja Bongkar Rampung Pemutusan Sementara, serta Surat Tugas Tim YANTEK. Penomoran naskah dinas digenerate secara otomatis menggunakan pola standar tata naskah resmi PLN, disertai konsideran dasar hukum Peraturan Menteri ESDM Nomor 27 Tahun 2017 tentang standar pelayanan ketenagalistrikan.</w:t>
              <w:br/>
              <w:br/>
              <w:t>Dari sisi arsitektur render dokumen, kami merancang Native CSS Print Engine dengan pemanfaatan media query print dan CSS paged media A4. Pendekatan ini sengaja kami pilih untuk menggantikan library PDF pihak ketiga berbasis PHP seperti DomPDF atau headless browser yang memakan resource RAM server secara masif. Browser klien merender dokumen beresolusi vektor secara instan tanpa membebani server sama sekali.</w:t>
              <w:br/>
              <w:br/>
              <w:t>Lebih jauh lagi, arsitektur ini telah AI-Agent Ready. Controller backend kami menyediakan endpoint terstruktur dengan output JSON Schema baku serta service konversi teks pesan. Skema data ini siap dihubungkan langsung ke Large Language Model (LLM) melalui webhook untuk penyusunan narasi pemberitahuan otomatis ke pelanggan melalui WhatsApp Gateway resmi.</w:t>
            </w:r>
          </w:p>
        </w:tc>
      </w:tr>
    </w:tbl>
    <w:p>
      <w:pPr>
        <w:spacing w:after="80"/>
      </w:pPr>
    </w:p>
    <w:p>
      <w:pPr>
        <w:spacing w:before="80" w:after="40"/>
      </w:pPr>
      <w:r>
        <w:rPr>
          <w:rFonts w:ascii="Calibri" w:hAnsi="Calibri"/>
          <w:b/>
          <w:color w:val="003366"/>
          <w:sz w:val="19"/>
        </w:rPr>
        <w:t>Referensi Implementasi Kode: Pola Penomoran Tata Naskah Dinas &amp; CSS Print Engine</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 &amp; letter-preview.blade.php</w:t>
            </w:r>
          </w:p>
          <w:p>
            <w:pPr>
              <w:spacing w:before="0" w:after="80"/>
            </w:pPr>
            <w:r>
              <w:rPr>
                <w:rFonts w:ascii="Consolas" w:hAnsi="Consolas"/>
                <w:color w:val="F1F5F9"/>
                <w:sz w:val="17"/>
              </w:rPr>
              <w:t>// Standarisasi Penomoran Kedinasan PT PLN (Persero)</w:t>
              <w:br/>
              <w:t>$nomorSurat = match ($type) {</w:t>
              <w:br/>
              <w:t xml:space="preserve">    'sp1'      =&gt; '041/DIS.01.02/ULP-JKT/SP-1/' . now()-&gt;format('Y'),</w:t>
              <w:br/>
              <w:t xml:space="preserve">    'sp2'      =&gt; '082/DIS.01.02/ULP-JKT/SP-2/' . now()-&gt;format('Y'),</w:t>
              <w:br/>
              <w:t xml:space="preserve">    'spk'      =&gt; '115/YANTEK/GANGGUAN/' . now()-&gt;format('Y'),</w:t>
              <w:br/>
              <w:t xml:space="preserve">    'ba_meter' =&gt; '204/BA-P2TL/METER/' . now()-&gt;format('Y'),</w:t>
              <w:br/>
              <w:t>};</w:t>
              <w:br/>
              <w:br/>
              <w:t>/* CSS Paged Media Standard Layout A4 Resmi Tanpa Dependency Tambahan */</w:t>
              <w:br/>
              <w:t>@media print {</w:t>
              <w:br/>
              <w:t xml:space="preserve">    @page { size: A4 portrait; margin: 15mm 20mm; }</w:t>
              <w:br/>
              <w:t xml:space="preserve">    body { background: white; font-family: 'Times New Roman', serif; }</w:t>
              <w:br/>
              <w:t xml:space="preserve">    .no-print { display: none !important; }</w:t>
              <w:br/>
              <w:t>}</w:t>
            </w:r>
          </w:p>
        </w:tc>
      </w:tr>
    </w:tbl>
    <w:p>
      <w:pPr>
        <w:spacing w:before="40" w:after="160"/>
      </w:pPr>
      <w:r>
        <w:rPr>
          <w:rFonts w:ascii="Calibri" w:hAnsi="Calibri"/>
          <w:color w:val="46505F"/>
          <w:sz w:val="18"/>
        </w:rPr>
        <w:t>Catatan Teknis Arsitektur: Struktur naskah dinas mengacu pada anatomi formal surat dinas: Kepala Surat (Kop Resmi BUMN), Pembuka (Nomor &amp; Lampiran), Isi Konsideran (Hukum ESDM &amp; Rincian Tagihan), serta Kaki Surat (Tanda Tangan &amp; QR Verifikasi).</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4: SLIDE 4 - ARSITEKTUR DATABASE, KEAMANAN &amp; DAMPAK EFISIENSI BISNIS </w:t>
            </w:r>
            <w:r>
              <w:rPr>
                <w:rFonts w:ascii="Calibri" w:hAnsi="Calibri"/>
                <w:b/>
                <w:color w:val="F0C850"/>
                <w:sz w:val="20"/>
              </w:rPr>
              <w:t>[Durasi: ~60 Detik]</w:t>
            </w:r>
          </w:p>
        </w:tc>
      </w:tr>
    </w:tbl>
    <w:p>
      <w:pPr>
        <w:spacing w:after="40"/>
      </w:pPr>
    </w:p>
    <w:p>
      <w:pPr>
        <w:spacing w:before="80" w:after="40"/>
      </w:pPr>
      <w:r>
        <w:rPr>
          <w:rFonts w:ascii="Calibri" w:hAnsi="Calibri"/>
          <w:b/>
          <w:color w:val="46505F"/>
          <w:sz w:val="20"/>
        </w:rPr>
        <w:t>Naskah Penjelasan Slide 4:</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Sebagai penutup pada Slide keempat, mari kita tinjau fondasi rekayasa perangkat lunak dan arsitektur data yang menopang keandalan seluruh ekosistem ini.</w:t>
              <w:br/>
              <w:br/>
              <w:t>Struktur basis data aplikasi kami rancang secara ketat mengikuti kaidah Third Normal Form (3NF) dengan 11 entitas tabel yang saling berelasi. Untuk menjaga integritas finansial dan kepatuhan audit, seluruh relasi kunci asing (foreign key) pada tabel tagihan, transaksi, dan riwayat meteran dikonfigurasi menggunakan aturan 'ON DELETE RESTRICT'. Artinya, data historis pelanggan yang memiliki rekaman transaksi atau tunggakan tidak dapat dihapus sepihak dari sistem, menjamin terpenuhinya prinsip Good Corporate Governance (GCG).</w:t>
              <w:br/>
              <w:br/>
              <w:t>Pada layer frontend antarmuka admin, kami mengombinasikan utilitas Tailwind CSS dengan framework reaktif Alpine.js. Melalui reactive component letterGenerator(), staf admin dapat mengganti tipe naskah dinas, memilih data pelanggan, dan memperbarui preview secara real-time tanpa memicu full page reload yang memperlambat alur kerja operasional.</w:t>
              <w:br/>
              <w:br/>
              <w:t>Dari segi evaluasi dampak bisnis nyata:</w:t>
              <w:br/>
              <w:t>Pertama, terjadi efisiensi waktu operasional hingga 85 persen—dari proses penyusunan berkas administrasi dan triase teknisi yang sebelumnya memakan waktu berjam-jam menjadi beberapa detik saja.</w:t>
              <w:br/>
              <w:t>Kedua, tercipta Zero Data Discrepancy antara laporan pengaduan pelanggan di lapangan dengan tiket kerja yang diterima teknisi di kantor cabang.</w:t>
              <w:br/>
              <w:t>Dan ketiga, peningkatan akurasi penagihan dan mitigasi risiko kebocoran pendapatan melalui deteksi anomali dini.</w:t>
              <w:br/>
              <w:br/>
              <w:t>Inilah wujud komitmen kami dalam menghadirkan solusi digitalisasi operasional utilitas yang tidak sekadar berfokus pada estetika antarmuka, melainkan benar-benar andal, teruji secara teknis, dan siap diterapkan dalam skala industri ketenagalistrikan nasional. Terima kasih, saya kembalikan kepada rekan saya / moderator.</w:t>
            </w:r>
          </w:p>
        </w:tc>
      </w:tr>
    </w:tbl>
    <w:p>
      <w:pPr>
        <w:spacing w:after="80"/>
      </w:pPr>
    </w:p>
    <w:p>
      <w:pPr>
        <w:spacing w:before="80" w:after="40"/>
      </w:pPr>
      <w:r>
        <w:rPr>
          <w:rFonts w:ascii="Calibri" w:hAnsi="Calibri"/>
          <w:b/>
          <w:color w:val="003366"/>
          <w:sz w:val="19"/>
        </w:rPr>
        <w:t>Referensi Implementasi Kode: Integritas Relasi Basis Data &amp; State Management Reaktif</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database/migrations/* &amp; resources/views/admin/letters.blade.php</w:t>
            </w:r>
          </w:p>
          <w:p>
            <w:pPr>
              <w:spacing w:before="0" w:after="80"/>
            </w:pPr>
            <w:r>
              <w:rPr>
                <w:rFonts w:ascii="Consolas" w:hAnsi="Consolas"/>
                <w:color w:val="F1F5F9"/>
                <w:sz w:val="17"/>
              </w:rPr>
              <w:t>// Skema Migration: Proteksi Integritas Foreign Key Finansial</w:t>
              <w:br/>
              <w:t>$table-&gt;foreignId('customer_id')-&gt;constrained('customers')-&gt;onDelete('restrict');</w:t>
              <w:br/>
              <w:t>$table-&gt;foreignId('tariff_id')-&gt;constrained('tariffs')-&gt;onDelete('restrict');</w:t>
              <w:br/>
              <w:br/>
              <w:t>// State Management Alpine.js: Preview Surat Instan Tanpa Page Reload</w:t>
              <w:br/>
              <w:t>&lt;section x-data="letterGenerator()"&gt;</w:t>
              <w:br/>
              <w:t xml:space="preserve">    &lt;select x-model="selectedType" @change="updatePreview()"&gt;</w:t>
              <w:br/>
              <w:t xml:space="preserve">        &lt;option value="sp1"&gt;Surat Peringatan 1 (SP-1)&lt;/option&gt;</w:t>
              <w:br/>
              <w:t xml:space="preserve">        &lt;option value="spk"&gt;Surat Tugas Lapangan YANTEK&lt;/option&gt;</w:t>
              <w:br/>
              <w:t xml:space="preserve">    &lt;/select&gt;</w:t>
              <w:br/>
              <w:t xml:space="preserve">    &lt;button @click="window.print()"&gt;Cetak Dokumen A4&lt;/button&gt;</w:t>
              <w:br/>
              <w:t>&lt;/section&gt;</w:t>
            </w:r>
          </w:p>
        </w:tc>
      </w:tr>
    </w:tbl>
    <w:p>
      <w:pPr>
        <w:spacing w:before="40" w:after="160"/>
      </w:pPr>
      <w:r>
        <w:rPr>
          <w:rFonts w:ascii="Calibri" w:hAnsi="Calibri"/>
          <w:color w:val="46505F"/>
          <w:sz w:val="18"/>
        </w:rPr>
        <w:t>Catatan Teknis Arsitektur: Kombinasi constraint basis data level relasional dan reaktivitas di sisi klien menghasilkan platform backoffice yang tangguh, aman terhadap anomali data, serta memberikan pengalaman penggunaan yang responsif.</w:t>
      </w:r>
    </w:p>
    <w:p>
      <w:r>
        <w:br w:type="page"/>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Q&amp;A: PANDUAN JAWABAN TANYA JAWAB TEKNIS DEWAN JURI </w:t>
            </w:r>
            <w:r>
              <w:rPr>
                <w:rFonts w:ascii="Calibri" w:hAnsi="Calibri"/>
                <w:b/>
                <w:color w:val="F0C850"/>
                <w:sz w:val="20"/>
              </w:rPr>
              <w:t>[Sesi Pembuktian Teknis]</w:t>
            </w:r>
          </w:p>
        </w:tc>
      </w:tr>
    </w:tbl>
    <w:p>
      <w:pPr>
        <w:spacing w:after="40"/>
      </w:pPr>
    </w:p>
    <w:p>
      <w:pPr>
        <w:spacing w:before="160" w:after="40"/>
      </w:pPr>
      <w:r>
        <w:rPr>
          <w:rFonts w:ascii="Calibri" w:hAnsi="Calibri"/>
          <w:b/>
          <w:color w:val="003366"/>
          <w:sz w:val="20"/>
        </w:rPr>
        <w:t>Pertanyaan Juri 1: Bagaimana arsitektur sistem memastikan performa tetap optimal apabila menangani puluhan ribu transaksi secara bersamaan?</w:t>
      </w:r>
    </w:p>
    <w:p>
      <w:pPr>
        <w:spacing w:before="0" w:after="120" w:line="288" w:lineRule="auto"/>
      </w:pPr>
      <w:r>
        <w:rPr>
          <w:rFonts w:ascii="Georgia" w:hAnsi="Georgia"/>
          <w:color w:val="141923"/>
          <w:sz w:val="19"/>
        </w:rPr>
        <w:t>Jawaban Hafizh: Kami mengimplementasikan optimasi pada tiga level arsitektur. Pada level basis data, seluruh kolom pencarian kunci dan foreign key—seperti customer_id, bill_id, dan status transaksi—telah dipasangi index komposit untuk mempercepat kecepatan lookup. Pada level aplikasi (Eloquent ORM), kami menerapkan Eager Loading menggunakan method with() untuk menuntaskan relasi dalam satu kueri teragregasi, mencegah masalah N+1 Query. Pada level penyajian antarmuka, seluruh data tabel menggunakan server-side pagination dengan limit 15 baris per halaman, memastikan memory footprint runtime PHP tetap stabil di bawah 16 MB.</w:t>
      </w:r>
    </w:p>
    <w:p>
      <w:pPr>
        <w:spacing w:before="160" w:after="40"/>
      </w:pPr>
      <w:r>
        <w:rPr>
          <w:rFonts w:ascii="Calibri" w:hAnsi="Calibri"/>
          <w:b/>
          <w:color w:val="003366"/>
          <w:sz w:val="20"/>
        </w:rPr>
        <w:t>Pertanyaan Juri 2: Mengapa tim memilih CSS Print Engine daripada menggunakan library rendering PDF seperti DomPDF atau Browsershot Puppeteer?</w:t>
      </w:r>
    </w:p>
    <w:p>
      <w:pPr>
        <w:spacing w:before="0" w:after="120" w:line="288" w:lineRule="auto"/>
      </w:pPr>
      <w:r>
        <w:rPr>
          <w:rFonts w:ascii="Georgia" w:hAnsi="Georgia"/>
          <w:color w:val="141923"/>
          <w:sz w:val="19"/>
        </w:rPr>
        <w:t>Jawaban Hafizh: Keputusan ini didasari oleh efisiensi resource server dan skalabilitas. Library PDF berbasis PHP seperti DomPDF sering mengalami kendala memori dan parsing CSS modern (Flexbox/Grid), sementara Puppeteer memerlukan instalasi Node.js dan instance Chromium headless di server yang memakan RAM hingga ratusan megabyte per sesi render. Dengan memanfaatkan Native CSS Print Engine (@media print dan @page paged media), seluruh proses rasterisasi diserahkan langsung ke engine browser klien. Server tidak menanggung beban komputasi tambahan, output cetak 100 persen tajam berstandar vektor, dan pengguna tetap dapat menyimpannya sebagai file PDF resmi melalui dialog print browser.</w:t>
      </w:r>
    </w:p>
    <w:p>
      <w:pPr>
        <w:spacing w:before="160" w:after="40"/>
      </w:pPr>
      <w:r>
        <w:rPr>
          <w:rFonts w:ascii="Calibri" w:hAnsi="Calibri"/>
          <w:b/>
          <w:color w:val="003366"/>
          <w:sz w:val="20"/>
        </w:rPr>
        <w:t>Pertanyaan Juri 3: Bagaimana jembatan integrasi AI Agent bekerja dalam modul generator naskah dinas ini?</w:t>
      </w:r>
    </w:p>
    <w:p>
      <w:pPr>
        <w:spacing w:before="0" w:after="120" w:line="288" w:lineRule="auto"/>
      </w:pPr>
      <w:r>
        <w:rPr>
          <w:rFonts w:ascii="Georgia" w:hAnsi="Georgia"/>
          <w:color w:val="141923"/>
          <w:sz w:val="19"/>
        </w:rPr>
        <w:t>Jawaban Hafizh: Arsitektur kami memisahkan modul backoffice sebagai data provider yang deterministik. Endpoint controller kami memetakan entitas pelanggan, status tunggakan, dan rincian teknis ke dalam format JSON Schema yang tervalidasi. Skema data ini siap dikirimkan melalui API webhook ke model bahasa (LLM) seperti GPT atau Gemini. AI Agent bertindak untuk menyusun kalimat notifikasi atau surat yang dipersonalisasi sesuai profil pelanggan—misalnya nada persuasif untuk keterlambatan pertama, atau nada tegas berdasar hukum ESDM untuk penunggakan kronis—sebelum diteruskan ke WhatsApp Gateway atau sistem dispatch resmi.</w:t>
      </w:r>
    </w:p>
    <w:p>
      <w:pPr>
        <w:spacing w:before="160" w:after="40"/>
      </w:pPr>
      <w:r>
        <w:rPr>
          <w:rFonts w:ascii="Calibri" w:hAnsi="Calibri"/>
          <w:b/>
          <w:color w:val="003366"/>
          <w:sz w:val="20"/>
        </w:rPr>
        <w:t>Pertanyaan Juri 4: Bagaimana sistem membedakan antara fluktuasi konsumsi normal dengan anomali meteran pada pencatatan SwaCAM?</w:t>
      </w:r>
    </w:p>
    <w:p>
      <w:pPr>
        <w:spacing w:before="0" w:after="120" w:line="288" w:lineRule="auto"/>
      </w:pPr>
      <w:r>
        <w:rPr>
          <w:rFonts w:ascii="Georgia" w:hAnsi="Georgia"/>
          <w:color w:val="141923"/>
          <w:sz w:val="19"/>
        </w:rPr>
        <w:t>Jawaban Hafizh: Kami menetapkan batasan ambang (threshold) berbasis batas kapasitas daya VA pelanggan. Untuk golongan rumah tangga R1 450 VA hingga 900 VA, batas pemakaian wajar maksimum adalah di bawah 400 kWh per bulan. Jika pelanggan menginput angka stand meter yang menghasilkan pemakaian melebihi 400 kWh, atau jika selisih angka stand akhir lebih kecil dari angka stand bulan sebelumnya (yang secara fisik tidak mungkin terjadi pada meteran berjalan normal), controller kami otomatis mengubah status record menjadi 'Anomali Terdeteksi' dan menahan penerbitan tagihan hingga diverifikasi secara manual oleh supervisor lapangan.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