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План эксперимента</w:t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 магистерской ВКР: устранение помеховых сигналов при измерении диаграмм обратного рассеяния в безэховых камерах с неудовлетворительными безэховыми условиями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Цель эксперимента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8"/>
        </w:rPr>
        <w:t>Экспериментально подтвердить работоспособность предлагаемого гибридного метода (ISAR-фокусировка + VLM-атрибуция помех) при измерении ЭПР в безэховой камере с искусственно ухудшенными безэховыми условиями; сравнить метод с классическими подходами по количественным метрикам PSR, разрешение и погрешность ЭПР.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Место проведения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8"/>
        </w:rPr>
        <w:t>Безэховая камера ПАО «Радиофизика»; диапазон — X (8–12 ГГц); среда обработки — Python/MATLAB; VLM — Claude API / локальная Qwen2-VL.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Оборудование и мишени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безэховая камера с известными характеристиками поглощения;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векторный анализатор цепей или когерентный радарный приёмник с записью IQ-сигнала;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рупорные антенны передачи и приёма;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поворотная установка (турникет) с точностью позиционирования не хуже 0,5°;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эталонные мишени: металлическая сфера (D = 100 мм), уголковый отражатель; реальный тестовый объект (согласуется с научным руководителем).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Серии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Конфигурация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Цель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Что измеряем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Базовая БЭК, без мишени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«Подпись» камеры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фон, уровень помех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Базовая БЭК, сфера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Калибровка, эталон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ДОР сферы, 360°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Базовая БЭК, уголковый отражатель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Второй эталон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ДОР уголка, 360°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«Ухудшенная» БЭК, без мишени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Фон плохих условий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уровень и структура помех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«Ухудшенная» БЭК, сфера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Основной кейс метода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ДОР сферы в помехах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«Ухудшенная» БЭК, уголковый отражатель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Второй кейс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ДОР уголка в помехах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«Ухудшенная» БЭК, реальный объект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Практическая демонстрация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ДОР объекта</w:t>
            </w:r>
          </w:p>
        </w:tc>
      </w:tr>
    </w:tbl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sz w:val="28"/>
        </w:rPr>
        <w:t>«Ухудшение» камеры достигается удалением части поглотителей или добавлением металлического экрана; если условия лаборатории этого не позволяют — мишень размещается вблизи стены, пола или оснастки так, чтобы выраженно проявлялся мультипут.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Параметры измерения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диапазон частот: 8–12 ГГц, шаг по частоте 10 МГц;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поляризация: линейная, H-H или V-V;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шаг по углу наблюдения: 1° (при необходимости 0,5°);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диапазон углов: полный 360° или сектор ±90° относительно оси;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количество реализаций на точку: 4–8 для усреднения.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 Пайплайн обработки данных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ISAR-фокусировка по записанным IQ-данным (кросс-корреляция Doppler-профилей, фазовая компенсация);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подавление помех: временное стробирование, SVD-разложение, адаптивный LMS/RLS-фильтр;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восстановление диаграммы обратного рассеяния;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VLM-атрибуция помеховых источников по range-Doppler изображению;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расчёт метрик PSR, разрешение, погрешность ЭПР;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генерация диагностического отчёта средствами LLM.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7. Критерии оценки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PSR = 10·lg(Pпаразит / Pпосле_фильтрации), дБ — чем больше, тем лучше подавление;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разрешающая способность: ширина главного лепестка и уровень боковых максимумов до/после обработки;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точность измерения ЭПР: среднеквадратическое отклонение измеренной ДОР от теоретической на эталонных целях;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скорость обработки: время полного прогона на стандартном ноутбуке.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8. Ориентировочные сроки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неделя 1: согласование доступа, калибровка аппаратуры, тестовая сессия;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недели 2–3: основной объём измерений (сессии 1–7);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недели 3–4: обработка данных, сравнение методов, VLM-экспертиза;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неделя 5: подготовка результатов и графиков для ВКР, интеграция в веб-приложение.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9. Риски и резервные варианты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нет доступа к «ухудшению» БЭК — моделирование «плохих» условий расположением мишени у стен или численной симуляцией;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нет штатного ISAR-пайплайна на стенде — офлайн-обработка сырых IQ на рабочем ноутбуке;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ограниченное число сеансов — приоритет отдаётся сессиям № 5 и № 6 как ключевым для демонстрации метода.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