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литературы: </w:t>
        <w:br w:type="textWrapping"/>
        <w:t xml:space="preserve">1)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Мицмахер М. Ю., Торгованов В. А. Безэховые камеры СВЧ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Фундаментальная книга, охватывающая этапы создания, аттестации, радиопоглощающие материалы (РПМ), экранирование и биологическую защиту БЭК.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Майзельс Е. Н., Торгованов В. А. Исследование характеристик рассеяния радиолокационных целей. - М.: Советское радио, 1972 - Основы для понимания рассеяния и измерений.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Основы радиолокации — ИРСА (ISAR) — страница с объяснением принципа метода на русском языке.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https://www.radartutorial.eu/20.airborne/ab54.ru.html Радарный учебник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CISPR 16-1-4-2013 - Методики измерений индустриальных радиопомех (ЭМС), антенны, испытательные площадки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ГОСТ Р 50414-92 - Оборудование для испытаний (экранированные камеры).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ta.ru/articles/soel/2017/2017-2/111670/" TargetMode="External"/><Relationship Id="rId7" Type="http://schemas.openxmlformats.org/officeDocument/2006/relationships/hyperlink" Target="https://www.radartutorial.eu/20.airborne/ab54.ru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