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PEWA-F02-R01</w:t>
      </w:r>
      <w:r>
        <w:t xml:space="preserve"> </w:t>
      </w:r>
      <w:r>
        <w:t xml:space="preserve">—</w:t>
      </w:r>
      <w:r>
        <w:t xml:space="preserve"> </w:t>
      </w:r>
      <w:r>
        <w:t xml:space="preserve">Deliverable</w:t>
      </w:r>
      <w:r>
        <w:t xml:space="preserve"> </w:t>
      </w:r>
      <w:r>
        <w:t xml:space="preserve">5:</w:t>
      </w:r>
      <w:r>
        <w:t xml:space="preserve"> </w:t>
      </w:r>
      <w:r>
        <w:t xml:space="preserve">Reconciliation</w:t>
      </w:r>
      <w:r>
        <w:t xml:space="preserve"> </w:t>
      </w:r>
      <w:r>
        <w:t xml:space="preserve">&amp;</w:t>
      </w:r>
      <w:r>
        <w:t xml:space="preserve"> </w:t>
      </w:r>
      <w:r>
        <w:t xml:space="preserve">Gap</w:t>
      </w:r>
      <w:r>
        <w:t xml:space="preserve"> </w:t>
      </w:r>
      <w:r>
        <w:t xml:space="preserve">Report</w:t>
      </w:r>
    </w:p>
    <w:p>
      <w:pPr>
        <w:pStyle w:val="Date"/>
      </w:pPr>
      <w:r>
        <w:t xml:space="preserve">15</w:t>
      </w:r>
      <w:r>
        <w:t xml:space="preserve"> </w:t>
      </w:r>
      <w:r>
        <w:t xml:space="preserve">October</w:t>
      </w:r>
      <w:r>
        <w:t xml:space="preserve"> </w:t>
      </w:r>
      <w:r>
        <w:t xml:space="preserve">2026</w:t>
      </w:r>
    </w:p>
    <w:p>
      <w:pPr>
        <w:pStyle w:val="FirstParagraph"/>
      </w:pPr>
      <w:r>
        <w:t xml:space="preserve">This report lists where the evidence conflicts, where the proposed library could duplicate itself, which classifications are uncertain, which cuisines are underrepresented, where the evidence is weak, and which matters need a PEWA decision. IDs refer to D2/D3; S-codes to D1 Annex A.</w:t>
      </w:r>
    </w:p>
    <w:bookmarkStart w:id="20" w:name="Xb4738e060ee098176bca5a9c3757c0a1e91d539"/>
    <w:p>
      <w:pPr>
        <w:pStyle w:val="Heading1"/>
      </w:pPr>
      <w:r>
        <w:t xml:space="preserve">1. Duplicate and overlapping classifications</w:t>
      </w:r>
    </w:p>
    <w:tbl>
      <w:tblPr>
        <w:tblStyle w:val="Table"/>
        <w:tblW w:type="pct" w:w="5000"/>
        <w:tblLook w:firstRow="1" w:lastRow="0" w:firstColumn="0" w:lastColumn="0" w:noHBand="0" w:noVBand="0" w:val="0020"/>
        <w:jc w:val="start"/>
        <w:tblBorders>
          <w:top w:val="single" w:sz="4" w:color="B8C4CC"/>
          <w:left w:val="single" w:sz="4" w:color="B8C4CC"/>
          <w:bottom w:val="single" w:sz="4" w:color="B8C4CC"/>
          <w:right w:val="single" w:sz="4" w:color="B8C4CC"/>
          <w:insideH w:val="single" w:sz="4" w:color="B8C4CC"/>
          <w:insideV w:val="single" w:sz="4" w:color="B8C4CC"/>
        </w:tblBorders>
      </w:tblPr>
      <w:tblGrid>
        <w:gridCol w:w="1980"/>
        <w:gridCol w:w="1980"/>
        <w:gridCol w:w="1980"/>
        <w:gridCol w:w="1980"/>
      </w:tblGrid>
      <w:tr>
        <w:trPr>
          <w:tblHeader w:val="true"/>
        </w:trPr>
        <w:tc>
          <w:tcPr>
            <w:shd w:val="clear" w:fill="DCE8EF"/>
          </w:tcPr>
          <w:p>
            <w:pPr>
              <w:pStyle w:val="Compact"/>
              <w:jc w:val="left"/>
            </w:pPr>
            <w:r>
              <w:rPr>
                <w:sz w:val="17"/>
              </w:rPr>
              <w:t xml:space="preserve">#</w:t>
            </w:r>
          </w:p>
        </w:tc>
        <w:tc>
          <w:tcPr>
            <w:shd w:val="clear" w:fill="DCE8EF"/>
          </w:tcPr>
          <w:p>
            <w:pPr>
              <w:pStyle w:val="Compact"/>
              <w:jc w:val="left"/>
            </w:pPr>
            <w:r>
              <w:rPr>
                <w:sz w:val="17"/>
              </w:rPr>
              <w:t xml:space="preserve">Overlap</w:t>
            </w:r>
          </w:p>
        </w:tc>
        <w:tc>
          <w:tcPr>
            <w:shd w:val="clear" w:fill="DCE8EF"/>
          </w:tcPr>
          <w:p>
            <w:pPr>
              <w:pStyle w:val="Compact"/>
              <w:jc w:val="left"/>
            </w:pPr>
            <w:r>
              <w:rPr>
                <w:sz w:val="17"/>
              </w:rPr>
              <w:t xml:space="preserve">Evidence</w:t>
            </w:r>
          </w:p>
        </w:tc>
        <w:tc>
          <w:tcPr>
            <w:shd w:val="clear" w:fill="DCE8EF"/>
          </w:tcPr>
          <w:p>
            <w:pPr>
              <w:pStyle w:val="Compact"/>
              <w:jc w:val="left"/>
            </w:pPr>
            <w:r>
              <w:rPr>
                <w:sz w:val="17"/>
              </w:rPr>
              <w:t xml:space="preserve">Proposed resolution</w:t>
            </w:r>
          </w:p>
        </w:tc>
      </w:tr>
      <w:tr>
        <w:tc>
          <w:tcPr/>
          <w:p>
            <w:pPr>
              <w:pStyle w:val="Compact"/>
              <w:jc w:val="left"/>
            </w:pPr>
            <w:r>
              <w:rPr>
                <w:sz w:val="17"/>
              </w:rPr>
              <w:t xml:space="preserve">1</w:t>
            </w:r>
          </w:p>
        </w:tc>
        <w:tc>
          <w:tcPr/>
          <w:p>
            <w:pPr>
              <w:pStyle w:val="Compact"/>
              <w:jc w:val="left"/>
            </w:pPr>
            <w:r>
              <w:rPr>
                <w:bCs/>
                <w:b/>
                <w:sz w:val="17"/>
              </w:rPr>
              <w:t xml:space="preserve">Isombe / Sombe / Pondu / Saka-saka</w:t>
            </w:r>
            <w:r>
              <w:rPr>
                <w:sz w:val="17"/>
              </w:rPr>
              <w:t xml:space="preserve"> </w:t>
            </w:r>
            <w:r>
              <w:rPr>
                <w:sz w:val="17"/>
              </w:rPr>
              <w:t xml:space="preserve">— one dish family under four or more national names</w:t>
            </w:r>
          </w:p>
        </w:tc>
        <w:tc>
          <w:tcPr/>
          <w:p>
            <w:pPr>
              <w:pStyle w:val="Compact"/>
              <w:jc w:val="left"/>
            </w:pPr>
            <w:r>
              <w:rPr>
                <w:sz w:val="17"/>
              </w:rPr>
              <w:t xml:space="preserve">S25, S56, S57</w:t>
            </w:r>
          </w:p>
        </w:tc>
        <w:tc>
          <w:tcPr/>
          <w:p>
            <w:pPr>
              <w:pStyle w:val="Compact"/>
              <w:jc w:val="left"/>
            </w:pPr>
            <w:r>
              <w:rPr>
                <w:sz w:val="17"/>
              </w:rPr>
              <w:t xml:space="preserve">One dish group</w:t>
            </w:r>
            <w:r>
              <w:rPr>
                <w:sz w:val="17"/>
              </w:rPr>
              <w:t xml:space="preserve"> </w:t>
            </w:r>
            <w:r>
              <w:rPr>
                <w:bCs/>
                <w:b/>
                <w:sz w:val="17"/>
              </w:rPr>
              <w:t xml:space="preserve">F403-01</w:t>
            </w:r>
            <w:r>
              <w:rPr>
                <w:sz w:val="17"/>
              </w:rPr>
              <w:t xml:space="preserve">; all names as language-tagged synonyms; no separate entries</w:t>
            </w:r>
          </w:p>
        </w:tc>
      </w:tr>
      <w:tr>
        <w:tc>
          <w:tcPr/>
          <w:p>
            <w:pPr>
              <w:pStyle w:val="Compact"/>
              <w:jc w:val="left"/>
            </w:pPr>
            <w:r>
              <w:rPr>
                <w:sz w:val="17"/>
              </w:rPr>
              <w:t xml:space="preserve">2</w:t>
            </w:r>
          </w:p>
        </w:tc>
        <w:tc>
          <w:tcPr/>
          <w:p>
            <w:pPr>
              <w:pStyle w:val="Compact"/>
              <w:jc w:val="left"/>
            </w:pPr>
            <w:r>
              <w:rPr>
                <w:bCs/>
                <w:b/>
                <w:sz w:val="17"/>
              </w:rPr>
              <w:t xml:space="preserve">Ugali / Ubugali / Posho / Kawunga / Sima / Pap / Nshima / Sadza</w:t>
            </w:r>
          </w:p>
        </w:tc>
        <w:tc>
          <w:tcPr/>
          <w:p>
            <w:pPr>
              <w:pStyle w:val="Compact"/>
              <w:jc w:val="left"/>
            </w:pPr>
            <w:r>
              <w:rPr>
                <w:sz w:val="17"/>
              </w:rPr>
              <w:t xml:space="preserve">S25, S33, S36, S50</w:t>
            </w:r>
          </w:p>
        </w:tc>
        <w:tc>
          <w:tcPr/>
          <w:p>
            <w:pPr>
              <w:pStyle w:val="Compact"/>
              <w:jc w:val="left"/>
            </w:pPr>
            <w:r>
              <w:rPr>
                <w:sz w:val="17"/>
              </w:rPr>
              <w:t xml:space="preserve">Two dish groups split by region (East/Great Lakes</w:t>
            </w:r>
            <w:r>
              <w:rPr>
                <w:sz w:val="17"/>
              </w:rPr>
              <w:t xml:space="preserve"> </w:t>
            </w:r>
            <w:r>
              <w:rPr>
                <w:bCs/>
                <w:b/>
                <w:sz w:val="17"/>
              </w:rPr>
              <w:t xml:space="preserve">F501-01</w:t>
            </w:r>
            <w:r>
              <w:rPr>
                <w:sz w:val="17"/>
              </w:rPr>
              <w:t xml:space="preserve">; Southern</w:t>
            </w:r>
            <w:r>
              <w:rPr>
                <w:sz w:val="17"/>
              </w:rPr>
              <w:t xml:space="preserve"> </w:t>
            </w:r>
            <w:r>
              <w:rPr>
                <w:bCs/>
                <w:b/>
                <w:sz w:val="17"/>
              </w:rPr>
              <w:t xml:space="preserve">F501-02</w:t>
            </w:r>
            <w:r>
              <w:rPr>
                <w:sz w:val="17"/>
              </w:rPr>
              <w:t xml:space="preserve">); flour base as attribute IN-STA. Open: whether to merge into one</w:t>
            </w:r>
          </w:p>
        </w:tc>
      </w:tr>
      <w:tr>
        <w:tc>
          <w:tcPr/>
          <w:p>
            <w:pPr>
              <w:pStyle w:val="Compact"/>
              <w:jc w:val="left"/>
            </w:pPr>
            <w:r>
              <w:rPr>
                <w:sz w:val="17"/>
              </w:rPr>
              <w:t xml:space="preserve">3</w:t>
            </w:r>
          </w:p>
        </w:tc>
        <w:tc>
          <w:tcPr/>
          <w:p>
            <w:pPr>
              <w:pStyle w:val="Compact"/>
              <w:jc w:val="left"/>
            </w:pPr>
            <w:r>
              <w:rPr>
                <w:bCs/>
                <w:b/>
                <w:sz w:val="17"/>
              </w:rPr>
              <w:t xml:space="preserve">Brochettes / Mishkaki / Suya / Kebab</w:t>
            </w:r>
          </w:p>
        </w:tc>
        <w:tc>
          <w:tcPr/>
          <w:p>
            <w:pPr>
              <w:pStyle w:val="Compact"/>
              <w:jc w:val="left"/>
            </w:pPr>
            <w:r>
              <w:rPr>
                <w:sz w:val="17"/>
              </w:rPr>
              <w:t xml:space="preserve">S26, S41, S46</w:t>
            </w:r>
          </w:p>
        </w:tc>
        <w:tc>
          <w:tcPr/>
          <w:p>
            <w:pPr>
              <w:pStyle w:val="Compact"/>
              <w:jc w:val="left"/>
            </w:pPr>
            <w:r>
              <w:rPr>
                <w:sz w:val="17"/>
              </w:rPr>
              <w:t xml:space="preserve">Separate dish groups under one subcategory</w:t>
            </w:r>
            <w:r>
              <w:rPr>
                <w:sz w:val="17"/>
              </w:rPr>
              <w:t xml:space="preserve"> </w:t>
            </w:r>
            <w:r>
              <w:rPr>
                <w:bCs/>
                <w:b/>
                <w:sz w:val="17"/>
              </w:rPr>
              <w:t xml:space="preserve">F302</w:t>
            </w:r>
            <w:r>
              <w:rPr>
                <w:sz w:val="17"/>
              </w:rPr>
              <w:t xml:space="preserve">, cross-linked as</w:t>
            </w:r>
            <w:r>
              <w:rPr>
                <w:sz w:val="17"/>
              </w:rPr>
              <w:t xml:space="preserve"> </w:t>
            </w:r>
            <w:r>
              <w:rPr>
                <w:sz w:val="17"/>
              </w:rPr>
              <w:t xml:space="preserve">“</w:t>
            </w:r>
            <w:r>
              <w:rPr>
                <w:sz w:val="17"/>
              </w:rPr>
              <w:t xml:space="preserve">related</w:t>
            </w:r>
            <w:r>
              <w:rPr>
                <w:sz w:val="17"/>
              </w:rPr>
              <w:t xml:space="preserve">”</w:t>
            </w:r>
            <w:r>
              <w:rPr>
                <w:sz w:val="17"/>
              </w:rPr>
              <w:t xml:space="preserve"> </w:t>
            </w:r>
            <w:r>
              <w:rPr>
                <w:sz w:val="17"/>
              </w:rPr>
              <w:t xml:space="preserve">for search</w:t>
            </w:r>
          </w:p>
        </w:tc>
      </w:tr>
      <w:tr>
        <w:tc>
          <w:tcPr/>
          <w:p>
            <w:pPr>
              <w:pStyle w:val="Compact"/>
              <w:jc w:val="left"/>
            </w:pPr>
            <w:r>
              <w:rPr>
                <w:sz w:val="17"/>
              </w:rPr>
              <w:t xml:space="preserve">4</w:t>
            </w:r>
          </w:p>
        </w:tc>
        <w:tc>
          <w:tcPr/>
          <w:p>
            <w:pPr>
              <w:pStyle w:val="Compact"/>
              <w:jc w:val="left"/>
            </w:pPr>
            <w:r>
              <w:rPr>
                <w:bCs/>
                <w:b/>
                <w:sz w:val="17"/>
              </w:rPr>
              <w:t xml:space="preserve">Nyama choma / Muchomo / Braai / Shisa nyama</w:t>
            </w:r>
          </w:p>
        </w:tc>
        <w:tc>
          <w:tcPr/>
          <w:p>
            <w:pPr>
              <w:pStyle w:val="Compact"/>
              <w:jc w:val="left"/>
            </w:pPr>
            <w:r>
              <w:rPr>
                <w:sz w:val="17"/>
              </w:rPr>
              <w:t xml:space="preserve">S34, S36, S50</w:t>
            </w:r>
          </w:p>
        </w:tc>
        <w:tc>
          <w:tcPr/>
          <w:p>
            <w:pPr>
              <w:pStyle w:val="Compact"/>
              <w:jc w:val="left"/>
            </w:pPr>
            <w:r>
              <w:rPr>
                <w:sz w:val="17"/>
              </w:rPr>
              <w:t xml:space="preserve">Two dish groups under</w:t>
            </w:r>
            <w:r>
              <w:rPr>
                <w:sz w:val="17"/>
              </w:rPr>
              <w:t xml:space="preserve"> </w:t>
            </w:r>
            <w:r>
              <w:rPr>
                <w:bCs/>
                <w:b/>
                <w:sz w:val="17"/>
              </w:rPr>
              <w:t xml:space="preserve">F303</w:t>
            </w:r>
            <w:r>
              <w:rPr>
                <w:sz w:val="17"/>
              </w:rPr>
              <w:t xml:space="preserve">; East African and Southern African customs differ (butchery selection)</w:t>
            </w:r>
          </w:p>
        </w:tc>
      </w:tr>
      <w:tr>
        <w:tc>
          <w:tcPr/>
          <w:p>
            <w:pPr>
              <w:pStyle w:val="Compact"/>
              <w:jc w:val="left"/>
            </w:pPr>
            <w:r>
              <w:rPr>
                <w:sz w:val="17"/>
              </w:rPr>
              <w:t xml:space="preserve">5</w:t>
            </w:r>
          </w:p>
        </w:tc>
        <w:tc>
          <w:tcPr/>
          <w:p>
            <w:pPr>
              <w:pStyle w:val="Compact"/>
              <w:jc w:val="left"/>
            </w:pPr>
            <w:r>
              <w:rPr>
                <w:bCs/>
                <w:b/>
                <w:sz w:val="17"/>
              </w:rPr>
              <w:t xml:space="preserve">Chips / Fries / Frites / Chipsi</w:t>
            </w:r>
          </w:p>
        </w:tc>
        <w:tc>
          <w:tcPr/>
          <w:p>
            <w:pPr>
              <w:pStyle w:val="Compact"/>
              <w:jc w:val="left"/>
            </w:pPr>
            <w:r>
              <w:rPr>
                <w:sz w:val="17"/>
              </w:rPr>
              <w:t xml:space="preserve">S17, S43</w:t>
            </w:r>
          </w:p>
        </w:tc>
        <w:tc>
          <w:tcPr/>
          <w:p>
            <w:pPr>
              <w:pStyle w:val="Compact"/>
              <w:jc w:val="left"/>
            </w:pPr>
            <w:r>
              <w:rPr>
                <w:sz w:val="17"/>
              </w:rPr>
              <w:t xml:space="preserve">One subcategory</w:t>
            </w:r>
            <w:r>
              <w:rPr>
                <w:sz w:val="17"/>
              </w:rPr>
              <w:t xml:space="preserve"> </w:t>
            </w:r>
            <w:r>
              <w:rPr>
                <w:bCs/>
                <w:b/>
                <w:sz w:val="17"/>
              </w:rPr>
              <w:t xml:space="preserve">F507</w:t>
            </w:r>
            <w:r>
              <w:rPr>
                <w:sz w:val="17"/>
              </w:rPr>
              <w:t xml:space="preserve">; chipsi mayai separate (</w:t>
            </w:r>
            <w:r>
              <w:rPr>
                <w:bCs/>
                <w:b/>
                <w:sz w:val="17"/>
              </w:rPr>
              <w:t xml:space="preserve">F803</w:t>
            </w:r>
            <w:r>
              <w:rPr>
                <w:sz w:val="17"/>
              </w:rPr>
              <w:t xml:space="preserve">) because it is a different dish</w:t>
            </w:r>
          </w:p>
        </w:tc>
      </w:tr>
      <w:tr>
        <w:tc>
          <w:tcPr/>
          <w:p>
            <w:pPr>
              <w:pStyle w:val="Compact"/>
              <w:jc w:val="left"/>
            </w:pPr>
            <w:r>
              <w:rPr>
                <w:sz w:val="17"/>
              </w:rPr>
              <w:t xml:space="preserve">6</w:t>
            </w:r>
          </w:p>
        </w:tc>
        <w:tc>
          <w:tcPr/>
          <w:p>
            <w:pPr>
              <w:pStyle w:val="Compact"/>
              <w:jc w:val="left"/>
            </w:pPr>
            <w:r>
              <w:rPr>
                <w:bCs/>
                <w:b/>
                <w:sz w:val="17"/>
              </w:rPr>
              <w:t xml:space="preserve">Grilled fish vs Fish &amp; Seafood</w:t>
            </w:r>
          </w:p>
        </w:tc>
        <w:tc>
          <w:tcPr/>
          <w:p>
            <w:pPr>
              <w:pStyle w:val="Compact"/>
              <w:jc w:val="left"/>
            </w:pPr>
            <w:r>
              <w:rPr>
                <w:sz w:val="17"/>
              </w:rPr>
              <w:t xml:space="preserve">S28, S29</w:t>
            </w:r>
          </w:p>
        </w:tc>
        <w:tc>
          <w:tcPr/>
          <w:p>
            <w:pPr>
              <w:pStyle w:val="Compact"/>
              <w:jc w:val="left"/>
            </w:pPr>
            <w:r>
              <w:rPr>
                <w:sz w:val="17"/>
              </w:rPr>
              <w:t xml:space="preserve">Dish form wins (grilled fish → F305); F950 is used only for seafood-defined formats. See decision D-3</w:t>
            </w:r>
          </w:p>
        </w:tc>
      </w:tr>
      <w:tr>
        <w:tc>
          <w:tcPr/>
          <w:p>
            <w:pPr>
              <w:pStyle w:val="Compact"/>
              <w:jc w:val="left"/>
            </w:pPr>
            <w:r>
              <w:rPr>
                <w:sz w:val="17"/>
              </w:rPr>
              <w:t xml:space="preserve">7</w:t>
            </w:r>
          </w:p>
        </w:tc>
        <w:tc>
          <w:tcPr/>
          <w:p>
            <w:pPr>
              <w:pStyle w:val="Compact"/>
              <w:jc w:val="left"/>
            </w:pPr>
            <w:r>
              <w:rPr>
                <w:bCs/>
                <w:b/>
                <w:sz w:val="17"/>
              </w:rPr>
              <w:t xml:space="preserve">Desserts (F900) vs Cakes (K300)</w:t>
            </w:r>
          </w:p>
        </w:tc>
        <w:tc>
          <w:tcPr/>
          <w:p>
            <w:pPr>
              <w:pStyle w:val="Compact"/>
              <w:jc w:val="left"/>
            </w:pPr>
            <w:r>
              <w:rPr>
                <w:sz w:val="17"/>
              </w:rPr>
              <w:t xml:space="preserve">S17, S23</w:t>
            </w:r>
          </w:p>
        </w:tc>
        <w:tc>
          <w:tcPr/>
          <w:p>
            <w:pPr>
              <w:pStyle w:val="Compact"/>
              <w:jc w:val="left"/>
            </w:pPr>
            <w:r>
              <w:rPr>
                <w:sz w:val="17"/>
              </w:rPr>
              <w:t xml:space="preserve">Allow primary + secondary category; a cheesecake slice is K301 primary, F902 secondary on restaurant menus</w:t>
            </w:r>
          </w:p>
        </w:tc>
      </w:tr>
      <w:tr>
        <w:tc>
          <w:tcPr/>
          <w:p>
            <w:pPr>
              <w:pStyle w:val="Compact"/>
              <w:jc w:val="left"/>
            </w:pPr>
            <w:r>
              <w:rPr>
                <w:sz w:val="17"/>
              </w:rPr>
              <w:t xml:space="preserve">8</w:t>
            </w:r>
          </w:p>
        </w:tc>
        <w:tc>
          <w:tcPr/>
          <w:p>
            <w:pPr>
              <w:pStyle w:val="Compact"/>
              <w:jc w:val="left"/>
            </w:pPr>
            <w:r>
              <w:rPr>
                <w:bCs/>
                <w:b/>
                <w:sz w:val="17"/>
              </w:rPr>
              <w:t xml:space="preserve">Flatbreads (F506 vs K104)</w:t>
            </w:r>
          </w:p>
        </w:tc>
        <w:tc>
          <w:tcPr/>
          <w:p>
            <w:pPr>
              <w:pStyle w:val="Compact"/>
              <w:jc w:val="left"/>
            </w:pPr>
            <w:r>
              <w:rPr>
                <w:sz w:val="17"/>
              </w:rPr>
              <w:t xml:space="preserve">S38, S53</w:t>
            </w:r>
          </w:p>
        </w:tc>
        <w:tc>
          <w:tcPr/>
          <w:p>
            <w:pPr>
              <w:pStyle w:val="Compact"/>
              <w:jc w:val="left"/>
            </w:pPr>
            <w:r>
              <w:rPr>
                <w:sz w:val="17"/>
              </w:rPr>
              <w:t xml:space="preserve">F506 when served with a meal; K104 when sold as a bakery product</w:t>
            </w:r>
          </w:p>
        </w:tc>
      </w:tr>
      <w:tr>
        <w:tc>
          <w:tcPr/>
          <w:p>
            <w:pPr>
              <w:pStyle w:val="Compact"/>
              <w:jc w:val="left"/>
            </w:pPr>
            <w:r>
              <w:rPr>
                <w:sz w:val="17"/>
              </w:rPr>
              <w:t xml:space="preserve">9</w:t>
            </w:r>
          </w:p>
        </w:tc>
        <w:tc>
          <w:tcPr/>
          <w:p>
            <w:pPr>
              <w:pStyle w:val="Compact"/>
              <w:jc w:val="left"/>
            </w:pPr>
            <w:r>
              <w:rPr>
                <w:bCs/>
                <w:b/>
                <w:sz w:val="17"/>
              </w:rPr>
              <w:t xml:space="preserve">Mandazi as breakfast item, street snack and bakery good</w:t>
            </w:r>
          </w:p>
        </w:tc>
        <w:tc>
          <w:tcPr/>
          <w:p>
            <w:pPr>
              <w:pStyle w:val="Compact"/>
              <w:jc w:val="left"/>
            </w:pPr>
            <w:r>
              <w:rPr>
                <w:sz w:val="17"/>
              </w:rPr>
              <w:t xml:space="preserve">S41, S45</w:t>
            </w:r>
          </w:p>
        </w:tc>
        <w:tc>
          <w:tcPr/>
          <w:p>
            <w:pPr>
              <w:pStyle w:val="Compact"/>
              <w:jc w:val="left"/>
            </w:pPr>
            <w:r>
              <w:rPr>
                <w:sz w:val="17"/>
              </w:rPr>
              <w:t xml:space="preserve">One category (</w:t>
            </w:r>
            <w:r>
              <w:rPr>
                <w:bCs/>
                <w:b/>
                <w:sz w:val="17"/>
              </w:rPr>
              <w:t xml:space="preserve">K400</w:t>
            </w:r>
            <w:r>
              <w:rPr>
                <w:sz w:val="17"/>
              </w:rPr>
              <w:t xml:space="preserve">); occasion and venue handled by other dimensions</w:t>
            </w:r>
          </w:p>
        </w:tc>
      </w:tr>
      <w:tr>
        <w:tc>
          <w:tcPr/>
          <w:p>
            <w:pPr>
              <w:pStyle w:val="Compact"/>
              <w:jc w:val="left"/>
            </w:pPr>
            <w:r>
              <w:rPr>
                <w:sz w:val="17"/>
              </w:rPr>
              <w:t xml:space="preserve">10</w:t>
            </w:r>
          </w:p>
        </w:tc>
        <w:tc>
          <w:tcPr/>
          <w:p>
            <w:pPr>
              <w:pStyle w:val="Compact"/>
              <w:jc w:val="left"/>
            </w:pPr>
            <w:r>
              <w:rPr>
                <w:bCs/>
                <w:b/>
                <w:sz w:val="17"/>
              </w:rPr>
              <w:t xml:space="preserve">Iced drinks as a section vs temperature attribute</w:t>
            </w:r>
          </w:p>
        </w:tc>
        <w:tc>
          <w:tcPr/>
          <w:p>
            <w:pPr>
              <w:pStyle w:val="Compact"/>
              <w:jc w:val="left"/>
            </w:pPr>
            <w:r>
              <w:rPr>
                <w:sz w:val="17"/>
              </w:rPr>
              <w:t xml:space="preserve">S17</w:t>
            </w:r>
          </w:p>
        </w:tc>
        <w:tc>
          <w:tcPr/>
          <w:p>
            <w:pPr>
              <w:pStyle w:val="Compact"/>
              <w:jc w:val="left"/>
            </w:pPr>
            <w:r>
              <w:rPr>
                <w:sz w:val="17"/>
              </w:rPr>
              <w:t xml:space="preserve">Default: attribute SV-TMP; an Optional category B220 for businesses that want it — risk of double classification, flagged</w:t>
            </w:r>
          </w:p>
        </w:tc>
      </w:tr>
      <w:tr>
        <w:tc>
          <w:tcPr/>
          <w:p>
            <w:pPr>
              <w:pStyle w:val="Compact"/>
              <w:jc w:val="left"/>
            </w:pPr>
            <w:r>
              <w:rPr>
                <w:sz w:val="17"/>
              </w:rPr>
              <w:t xml:space="preserve">11</w:t>
            </w:r>
          </w:p>
        </w:tc>
        <w:tc>
          <w:tcPr/>
          <w:p>
            <w:pPr>
              <w:pStyle w:val="Compact"/>
              <w:jc w:val="left"/>
            </w:pPr>
            <w:r>
              <w:rPr>
                <w:bCs/>
                <w:b/>
                <w:sz w:val="17"/>
              </w:rPr>
              <w:t xml:space="preserve">Melange / buffet vs platter</w:t>
            </w:r>
          </w:p>
        </w:tc>
        <w:tc>
          <w:tcPr/>
          <w:p>
            <w:pPr>
              <w:pStyle w:val="Compact"/>
              <w:jc w:val="left"/>
            </w:pPr>
            <w:r>
              <w:rPr>
                <w:sz w:val="17"/>
              </w:rPr>
              <w:t xml:space="preserve">S26, S53</w:t>
            </w:r>
          </w:p>
        </w:tc>
        <w:tc>
          <w:tcPr/>
          <w:p>
            <w:pPr>
              <w:pStyle w:val="Compact"/>
              <w:jc w:val="left"/>
            </w:pPr>
            <w:r>
              <w:rPr>
                <w:sz w:val="17"/>
              </w:rPr>
              <w:t xml:space="preserve">F981 for self-serve and per-plate buffets; F982 for pre-arranged assortments</w:t>
            </w:r>
          </w:p>
        </w:tc>
      </w:tr>
      <w:tr>
        <w:tc>
          <w:tcPr/>
          <w:p>
            <w:pPr>
              <w:pStyle w:val="Compact"/>
              <w:jc w:val="left"/>
            </w:pPr>
            <w:r>
              <w:rPr>
                <w:sz w:val="17"/>
              </w:rPr>
              <w:t xml:space="preserve">12</w:t>
            </w:r>
          </w:p>
        </w:tc>
        <w:tc>
          <w:tcPr/>
          <w:p>
            <w:pPr>
              <w:pStyle w:val="Compact"/>
              <w:jc w:val="left"/>
            </w:pPr>
            <w:r>
              <w:rPr>
                <w:bCs/>
                <w:b/>
                <w:sz w:val="17"/>
              </w:rPr>
              <w:t xml:space="preserve">Vegan vs Plant-based vs Ethiopian fasting</w:t>
            </w:r>
          </w:p>
        </w:tc>
        <w:tc>
          <w:tcPr/>
          <w:p>
            <w:pPr>
              <w:pStyle w:val="Compact"/>
              <w:jc w:val="left"/>
            </w:pPr>
            <w:r>
              <w:rPr>
                <w:sz w:val="17"/>
              </w:rPr>
              <w:t xml:space="preserve">S53, S64</w:t>
            </w:r>
          </w:p>
        </w:tc>
        <w:tc>
          <w:tcPr/>
          <w:p>
            <w:pPr>
              <w:pStyle w:val="Compact"/>
              <w:jc w:val="left"/>
            </w:pPr>
            <w:r>
              <w:rPr>
                <w:sz w:val="17"/>
              </w:rPr>
              <w:t xml:space="preserve">Three distinct tags (DT-VGN, DT-PLB, DT-FST); search synonym links between them, but separate claims</w:t>
            </w:r>
          </w:p>
        </w:tc>
      </w:tr>
    </w:tbl>
    <w:bookmarkEnd w:id="20"/>
    <w:bookmarkStart w:id="21" w:name="conflicting-terminology"/>
    <w:p>
      <w:pPr>
        <w:pStyle w:val="Heading1"/>
      </w:pPr>
      <w:r>
        <w:t xml:space="preserve">2. Conflicting terminology</w:t>
      </w:r>
    </w:p>
    <w:tbl>
      <w:tblPr>
        <w:tblStyle w:val="Table"/>
        <w:tblW w:type="pct" w:w="5000"/>
        <w:tblLook w:firstRow="1" w:lastRow="0" w:firstColumn="0" w:lastColumn="0" w:noHBand="0" w:noVBand="0" w:val="0020"/>
        <w:jc w:val="start"/>
        <w:tblBorders>
          <w:top w:val="single" w:sz="4" w:color="B8C4CC"/>
          <w:left w:val="single" w:sz="4" w:color="B8C4CC"/>
          <w:bottom w:val="single" w:sz="4" w:color="B8C4CC"/>
          <w:right w:val="single" w:sz="4" w:color="B8C4CC"/>
          <w:insideH w:val="single" w:sz="4" w:color="B8C4CC"/>
          <w:insideV w:val="single" w:sz="4" w:color="B8C4CC"/>
        </w:tblBorders>
      </w:tblPr>
      <w:tblGrid>
        <w:gridCol w:w="1980"/>
        <w:gridCol w:w="1980"/>
        <w:gridCol w:w="1980"/>
        <w:gridCol w:w="1980"/>
      </w:tblGrid>
      <w:tr>
        <w:trPr>
          <w:tblHeader w:val="true"/>
        </w:trPr>
        <w:tc>
          <w:tcPr>
            <w:shd w:val="clear" w:fill="DCE8EF"/>
          </w:tcPr>
          <w:p>
            <w:pPr>
              <w:pStyle w:val="Compact"/>
              <w:jc w:val="left"/>
            </w:pPr>
            <w:r>
              <w:rPr>
                <w:sz w:val="17"/>
              </w:rPr>
              <w:t xml:space="preserve">Term</w:t>
            </w:r>
          </w:p>
        </w:tc>
        <w:tc>
          <w:tcPr>
            <w:shd w:val="clear" w:fill="DCE8EF"/>
          </w:tcPr>
          <w:p>
            <w:pPr>
              <w:pStyle w:val="Compact"/>
              <w:jc w:val="left"/>
            </w:pPr>
            <w:r>
              <w:rPr>
                <w:sz w:val="17"/>
              </w:rPr>
              <w:t xml:space="preserve">Conflict</w:t>
            </w:r>
          </w:p>
        </w:tc>
        <w:tc>
          <w:tcPr>
            <w:shd w:val="clear" w:fill="DCE8EF"/>
          </w:tcPr>
          <w:p>
            <w:pPr>
              <w:pStyle w:val="Compact"/>
              <w:jc w:val="left"/>
            </w:pPr>
            <w:r>
              <w:rPr>
                <w:sz w:val="17"/>
              </w:rPr>
              <w:t xml:space="preserve">Evidence</w:t>
            </w:r>
          </w:p>
        </w:tc>
        <w:tc>
          <w:tcPr>
            <w:shd w:val="clear" w:fill="DCE8EF"/>
          </w:tcPr>
          <w:p>
            <w:pPr>
              <w:pStyle w:val="Compact"/>
              <w:jc w:val="left"/>
            </w:pPr>
            <w:r>
              <w:rPr>
                <w:sz w:val="17"/>
              </w:rPr>
              <w:t xml:space="preserve">Treatment</w:t>
            </w:r>
          </w:p>
        </w:tc>
      </w:tr>
      <w:tr>
        <w:tc>
          <w:tcPr/>
          <w:p>
            <w:pPr>
              <w:pStyle w:val="Compact"/>
              <w:jc w:val="left"/>
            </w:pPr>
            <w:r>
              <w:rPr>
                <w:bCs/>
                <w:b/>
                <w:sz w:val="17"/>
              </w:rPr>
              <w:t xml:space="preserve">Entrée</w:t>
            </w:r>
          </w:p>
        </w:tc>
        <w:tc>
          <w:tcPr/>
          <w:p>
            <w:pPr>
              <w:pStyle w:val="Compact"/>
              <w:jc w:val="left"/>
            </w:pPr>
            <w:r>
              <w:rPr>
                <w:sz w:val="17"/>
              </w:rPr>
              <w:t xml:space="preserve">Starter (French, used in Burundi, Rwanda and DRC) vs main course (US English)</w:t>
            </w:r>
          </w:p>
        </w:tc>
        <w:tc>
          <w:tcPr/>
          <w:p>
            <w:pPr>
              <w:pStyle w:val="Compact"/>
              <w:jc w:val="left"/>
            </w:pPr>
            <w:r>
              <w:rPr>
                <w:sz w:val="17"/>
              </w:rPr>
              <w:t xml:space="preserve">S59 (francophone menu practice); general usage</w:t>
            </w:r>
          </w:p>
        </w:tc>
        <w:tc>
          <w:tcPr/>
          <w:p>
            <w:pPr>
              <w:pStyle w:val="Compact"/>
              <w:jc w:val="left"/>
            </w:pPr>
            <w:r>
              <w:rPr>
                <w:sz w:val="17"/>
              </w:rPr>
              <w:t xml:space="preserve">Never a standard label; map by role</w:t>
            </w:r>
          </w:p>
        </w:tc>
      </w:tr>
      <w:tr>
        <w:tc>
          <w:tcPr/>
          <w:p>
            <w:pPr>
              <w:pStyle w:val="Compact"/>
              <w:jc w:val="left"/>
            </w:pPr>
            <w:r>
              <w:rPr>
                <w:bCs/>
                <w:b/>
                <w:sz w:val="17"/>
              </w:rPr>
              <w:t xml:space="preserve">Soup</w:t>
            </w:r>
          </w:p>
        </w:tc>
        <w:tc>
          <w:tcPr/>
          <w:p>
            <w:pPr>
              <w:pStyle w:val="Compact"/>
              <w:jc w:val="left"/>
            </w:pPr>
            <w:r>
              <w:rPr>
                <w:sz w:val="17"/>
              </w:rPr>
              <w:t xml:space="preserve">Spoon-eaten soup vs West African thick stew eaten with swallow</w:t>
            </w:r>
          </w:p>
        </w:tc>
        <w:tc>
          <w:tcPr/>
          <w:p>
            <w:pPr>
              <w:pStyle w:val="Compact"/>
              <w:jc w:val="left"/>
            </w:pPr>
            <w:r>
              <w:rPr>
                <w:sz w:val="17"/>
              </w:rPr>
              <w:t xml:space="preserve">S49</w:t>
            </w:r>
          </w:p>
        </w:tc>
        <w:tc>
          <w:tcPr/>
          <w:p>
            <w:pPr>
              <w:pStyle w:val="Compact"/>
              <w:jc w:val="left"/>
            </w:pPr>
            <w:r>
              <w:rPr>
                <w:sz w:val="17"/>
              </w:rPr>
              <w:t xml:space="preserve">Nigerian</w:t>
            </w:r>
            <w:r>
              <w:rPr>
                <w:sz w:val="17"/>
              </w:rPr>
              <w:t xml:space="preserve"> </w:t>
            </w:r>
            <w:r>
              <w:rPr>
                <w:sz w:val="17"/>
              </w:rPr>
              <w:t xml:space="preserve">“</w:t>
            </w:r>
            <w:r>
              <w:rPr>
                <w:sz w:val="17"/>
              </w:rPr>
              <w:t xml:space="preserve">soups</w:t>
            </w:r>
            <w:r>
              <w:rPr>
                <w:sz w:val="17"/>
              </w:rPr>
              <w:t xml:space="preserve">”</w:t>
            </w:r>
            <w:r>
              <w:rPr>
                <w:sz w:val="17"/>
              </w:rPr>
              <w:t xml:space="preserve"> </w:t>
            </w:r>
            <w:r>
              <w:rPr>
                <w:sz w:val="17"/>
              </w:rPr>
              <w:t xml:space="preserve">→ F405/F403;</w:t>
            </w:r>
            <w:r>
              <w:rPr>
                <w:sz w:val="17"/>
              </w:rPr>
              <w:t xml:space="preserve"> </w:t>
            </w:r>
            <w:r>
              <w:rPr>
                <w:sz w:val="17"/>
              </w:rPr>
              <w:t xml:space="preserve">“</w:t>
            </w:r>
            <w:r>
              <w:rPr>
                <w:sz w:val="17"/>
              </w:rPr>
              <w:t xml:space="preserve">soup</w:t>
            </w:r>
            <w:r>
              <w:rPr>
                <w:sz w:val="17"/>
              </w:rPr>
              <w:t xml:space="preserve">”</w:t>
            </w:r>
            <w:r>
              <w:rPr>
                <w:sz w:val="17"/>
              </w:rPr>
              <w:t xml:space="preserve"> </w:t>
            </w:r>
            <w:r>
              <w:rPr>
                <w:sz w:val="17"/>
              </w:rPr>
              <w:t xml:space="preserve">kept as a synonym</w:t>
            </w:r>
          </w:p>
        </w:tc>
      </w:tr>
      <w:tr>
        <w:tc>
          <w:tcPr/>
          <w:p>
            <w:pPr>
              <w:pStyle w:val="Compact"/>
              <w:jc w:val="left"/>
            </w:pPr>
            <w:r>
              <w:rPr>
                <w:bCs/>
                <w:b/>
                <w:sz w:val="17"/>
              </w:rPr>
              <w:t xml:space="preserve">Sauce</w:t>
            </w:r>
          </w:p>
        </w:tc>
        <w:tc>
          <w:tcPr/>
          <w:p>
            <w:pPr>
              <w:pStyle w:val="Compact"/>
              <w:jc w:val="left"/>
            </w:pPr>
            <w:r>
              <w:rPr>
                <w:sz w:val="17"/>
              </w:rPr>
              <w:t xml:space="preserve">Great Lakes francophone menus use</w:t>
            </w:r>
            <w:r>
              <w:rPr>
                <w:sz w:val="17"/>
              </w:rPr>
              <w:t xml:space="preserve"> </w:t>
            </w:r>
            <w:r>
              <w:rPr>
                <w:sz w:val="17"/>
              </w:rPr>
              <w:t xml:space="preserve">“</w:t>
            </w:r>
            <w:r>
              <w:rPr>
                <w:sz w:val="17"/>
              </w:rPr>
              <w:t xml:space="preserve">sauce</w:t>
            </w:r>
            <w:r>
              <w:rPr>
                <w:sz w:val="17"/>
              </w:rPr>
              <w:t xml:space="preserve">”</w:t>
            </w:r>
            <w:r>
              <w:rPr>
                <w:sz w:val="17"/>
              </w:rPr>
              <w:t xml:space="preserve"> </w:t>
            </w:r>
            <w:r>
              <w:rPr>
                <w:sz w:val="17"/>
              </w:rPr>
              <w:t xml:space="preserve">for a stew (sauce viande, sauce poisson)</w:t>
            </w:r>
          </w:p>
        </w:tc>
        <w:tc>
          <w:tcPr/>
          <w:p>
            <w:pPr>
              <w:pStyle w:val="Compact"/>
              <w:jc w:val="left"/>
            </w:pPr>
            <w:r>
              <w:rPr>
                <w:sz w:val="17"/>
              </w:rPr>
              <w:t xml:space="preserve">S31 (descriptive)</w:t>
            </w:r>
          </w:p>
        </w:tc>
        <w:tc>
          <w:tcPr/>
          <w:p>
            <w:pPr>
              <w:pStyle w:val="Compact"/>
              <w:jc w:val="left"/>
            </w:pPr>
            <w:r>
              <w:rPr>
                <w:sz w:val="17"/>
              </w:rPr>
              <w:t xml:space="preserve">Synonym of F401; never classified as a condiment</w:t>
            </w:r>
          </w:p>
        </w:tc>
      </w:tr>
      <w:tr>
        <w:tc>
          <w:tcPr/>
          <w:p>
            <w:pPr>
              <w:pStyle w:val="Compact"/>
              <w:jc w:val="left"/>
            </w:pPr>
            <w:r>
              <w:rPr>
                <w:bCs/>
                <w:b/>
                <w:sz w:val="17"/>
              </w:rPr>
              <w:t xml:space="preserve">Banana / Plantain / Matooke</w:t>
            </w:r>
          </w:p>
        </w:tc>
        <w:tc>
          <w:tcPr/>
          <w:p>
            <w:pPr>
              <w:pStyle w:val="Compact"/>
              <w:jc w:val="left"/>
            </w:pPr>
            <w:r>
              <w:rPr>
                <w:sz w:val="17"/>
              </w:rPr>
              <w:t xml:space="preserve">Cooking banana (East Africa) vs plantain (West/Central Africa); not interchangeable botanically</w:t>
            </w:r>
          </w:p>
        </w:tc>
        <w:tc>
          <w:tcPr/>
          <w:p>
            <w:pPr>
              <w:pStyle w:val="Compact"/>
              <w:jc w:val="left"/>
            </w:pPr>
            <w:r>
              <w:rPr>
                <w:sz w:val="17"/>
              </w:rPr>
              <w:t xml:space="preserve">S33, S57</w:t>
            </w:r>
          </w:p>
        </w:tc>
        <w:tc>
          <w:tcPr/>
          <w:p>
            <w:pPr>
              <w:pStyle w:val="Compact"/>
              <w:jc w:val="left"/>
            </w:pPr>
            <w:r>
              <w:rPr>
                <w:sz w:val="17"/>
              </w:rPr>
              <w:t xml:space="preserve">One category F502 with two dish groups; IN-STA records the type</w:t>
            </w:r>
          </w:p>
        </w:tc>
      </w:tr>
      <w:tr>
        <w:tc>
          <w:tcPr/>
          <w:p>
            <w:pPr>
              <w:pStyle w:val="Compact"/>
              <w:jc w:val="left"/>
            </w:pPr>
            <w:r>
              <w:rPr>
                <w:bCs/>
                <w:b/>
                <w:sz w:val="17"/>
              </w:rPr>
              <w:t xml:space="preserve">Chai / Tea / African tea</w:t>
            </w:r>
          </w:p>
        </w:tc>
        <w:tc>
          <w:tcPr/>
          <w:p>
            <w:pPr>
              <w:pStyle w:val="Compact"/>
              <w:jc w:val="left"/>
            </w:pPr>
            <w:r>
              <w:rPr>
                <w:sz w:val="17"/>
              </w:rPr>
              <w:t xml:space="preserve">“</w:t>
            </w:r>
            <w:r>
              <w:rPr>
                <w:sz w:val="17"/>
              </w:rPr>
              <w:t xml:space="preserve">Chai</w:t>
            </w:r>
            <w:r>
              <w:rPr>
                <w:sz w:val="17"/>
              </w:rPr>
              <w:t xml:space="preserve">”</w:t>
            </w:r>
            <w:r>
              <w:rPr>
                <w:sz w:val="17"/>
              </w:rPr>
              <w:t xml:space="preserve"> </w:t>
            </w:r>
            <w:r>
              <w:rPr>
                <w:sz w:val="17"/>
              </w:rPr>
              <w:t xml:space="preserve">can mean any tea, spiced masala tea or milk tea</w:t>
            </w:r>
          </w:p>
        </w:tc>
        <w:tc>
          <w:tcPr/>
          <w:p>
            <w:pPr>
              <w:pStyle w:val="Compact"/>
              <w:jc w:val="left"/>
            </w:pPr>
            <w:r>
              <w:rPr>
                <w:sz w:val="17"/>
              </w:rPr>
              <w:t xml:space="preserve">S75</w:t>
            </w:r>
          </w:p>
        </w:tc>
        <w:tc>
          <w:tcPr/>
          <w:p>
            <w:pPr>
              <w:pStyle w:val="Compact"/>
              <w:jc w:val="left"/>
            </w:pPr>
            <w:r>
              <w:rPr>
                <w:sz w:val="17"/>
              </w:rPr>
              <w:t xml:space="preserve">B111/B112/B113 with explicit definitions</w:t>
            </w:r>
          </w:p>
        </w:tc>
      </w:tr>
      <w:tr>
        <w:tc>
          <w:tcPr/>
          <w:p>
            <w:pPr>
              <w:pStyle w:val="Compact"/>
              <w:jc w:val="left"/>
            </w:pPr>
            <w:r>
              <w:rPr>
                <w:bCs/>
                <w:b/>
                <w:sz w:val="17"/>
              </w:rPr>
              <w:t xml:space="preserve">Americano / Africano</w:t>
            </w:r>
          </w:p>
        </w:tc>
        <w:tc>
          <w:tcPr/>
          <w:p>
            <w:pPr>
              <w:pStyle w:val="Compact"/>
              <w:jc w:val="left"/>
            </w:pPr>
            <w:r>
              <w:rPr>
                <w:sz w:val="17"/>
              </w:rPr>
              <w:t xml:space="preserve">Local renaming of the same drink</w:t>
            </w:r>
          </w:p>
        </w:tc>
        <w:tc>
          <w:tcPr/>
          <w:p>
            <w:pPr>
              <w:pStyle w:val="Compact"/>
              <w:jc w:val="left"/>
            </w:pPr>
            <w:r>
              <w:rPr>
                <w:sz w:val="17"/>
              </w:rPr>
              <w:t xml:space="preserve">Observed in a Rwanda-themed café abroad (S81) – single source</w:t>
            </w:r>
          </w:p>
        </w:tc>
        <w:tc>
          <w:tcPr/>
          <w:p>
            <w:pPr>
              <w:pStyle w:val="Compact"/>
              <w:jc w:val="left"/>
            </w:pPr>
            <w:r>
              <w:rPr>
                <w:sz w:val="17"/>
              </w:rPr>
              <w:t xml:space="preserve">Synonym of B101</w:t>
            </w:r>
          </w:p>
        </w:tc>
      </w:tr>
      <w:tr>
        <w:tc>
          <w:tcPr/>
          <w:p>
            <w:pPr>
              <w:pStyle w:val="Compact"/>
              <w:jc w:val="left"/>
            </w:pPr>
            <w:r>
              <w:rPr>
                <w:bCs/>
                <w:b/>
                <w:sz w:val="17"/>
              </w:rPr>
              <w:t xml:space="preserve">Swallow</w:t>
            </w:r>
          </w:p>
        </w:tc>
        <w:tc>
          <w:tcPr/>
          <w:p>
            <w:pPr>
              <w:pStyle w:val="Compact"/>
              <w:jc w:val="left"/>
            </w:pPr>
            <w:r>
              <w:rPr>
                <w:sz w:val="17"/>
              </w:rPr>
              <w:t xml:space="preserve">Unknown outside West Africa; in East Africa the same concept is</w:t>
            </w:r>
            <w:r>
              <w:rPr>
                <w:sz w:val="17"/>
              </w:rPr>
              <w:t xml:space="preserve"> </w:t>
            </w:r>
            <w:r>
              <w:rPr>
                <w:sz w:val="17"/>
              </w:rPr>
              <w:t xml:space="preserve">“</w:t>
            </w:r>
            <w:r>
              <w:rPr>
                <w:sz w:val="17"/>
              </w:rPr>
              <w:t xml:space="preserve">ugali</w:t>
            </w:r>
            <w:r>
              <w:rPr>
                <w:sz w:val="17"/>
              </w:rPr>
              <w:t xml:space="preserve">”</w:t>
            </w:r>
            <w:r>
              <w:rPr>
                <w:sz w:val="17"/>
              </w:rPr>
              <w:t xml:space="preserve"> </w:t>
            </w:r>
            <w:r>
              <w:rPr>
                <w:sz w:val="17"/>
              </w:rPr>
              <w:t xml:space="preserve">or</w:t>
            </w:r>
            <w:r>
              <w:rPr>
                <w:sz w:val="17"/>
              </w:rPr>
              <w:t xml:space="preserve"> </w:t>
            </w:r>
            <w:r>
              <w:rPr>
                <w:sz w:val="17"/>
              </w:rPr>
              <w:t xml:space="preserve">“</w:t>
            </w:r>
            <w:r>
              <w:rPr>
                <w:sz w:val="17"/>
              </w:rPr>
              <w:t xml:space="preserve">food</w:t>
            </w:r>
            <w:r>
              <w:rPr>
                <w:sz w:val="17"/>
              </w:rPr>
              <w:t xml:space="preserve">”</w:t>
            </w:r>
          </w:p>
        </w:tc>
        <w:tc>
          <w:tcPr/>
          <w:p>
            <w:pPr>
              <w:pStyle w:val="Compact"/>
              <w:jc w:val="left"/>
            </w:pPr>
            <w:r>
              <w:rPr>
                <w:sz w:val="17"/>
              </w:rPr>
              <w:t xml:space="preserve">S46–S49</w:t>
            </w:r>
          </w:p>
        </w:tc>
        <w:tc>
          <w:tcPr/>
          <w:p>
            <w:pPr>
              <w:pStyle w:val="Compact"/>
              <w:jc w:val="left"/>
            </w:pPr>
            <w:r>
              <w:rPr>
                <w:sz w:val="17"/>
              </w:rPr>
              <w:t xml:space="preserve">Display: business’s word; search: synonym set of F501</w:t>
            </w:r>
          </w:p>
        </w:tc>
      </w:tr>
      <w:tr>
        <w:tc>
          <w:tcPr/>
          <w:p>
            <w:pPr>
              <w:pStyle w:val="Compact"/>
              <w:jc w:val="left"/>
            </w:pPr>
            <w:r>
              <w:rPr>
                <w:bCs/>
                <w:b/>
                <w:sz w:val="17"/>
              </w:rPr>
              <w:t xml:space="preserve">“</w:t>
            </w:r>
            <w:r>
              <w:rPr>
                <w:bCs/>
                <w:b/>
                <w:sz w:val="17"/>
              </w:rPr>
              <w:t xml:space="preserve">Food</w:t>
            </w:r>
            <w:r>
              <w:rPr>
                <w:bCs/>
                <w:b/>
                <w:sz w:val="17"/>
              </w:rPr>
              <w:t xml:space="preserve">”</w:t>
            </w:r>
            <w:r>
              <w:rPr>
                <w:bCs/>
                <w:b/>
                <w:sz w:val="17"/>
              </w:rPr>
              <w:t xml:space="preserve"> </w:t>
            </w:r>
            <w:r>
              <w:rPr>
                <w:bCs/>
                <w:b/>
                <w:sz w:val="17"/>
              </w:rPr>
              <w:t xml:space="preserve">(chakula) as the staple</w:t>
            </w:r>
          </w:p>
        </w:tc>
        <w:tc>
          <w:tcPr/>
          <w:p>
            <w:pPr>
              <w:pStyle w:val="Compact"/>
              <w:jc w:val="left"/>
            </w:pPr>
            <w:r>
              <w:rPr>
                <w:sz w:val="17"/>
              </w:rPr>
              <w:t xml:space="preserve">Ugandan local menus may call the staple</w:t>
            </w:r>
            <w:r>
              <w:rPr>
                <w:sz w:val="17"/>
              </w:rPr>
              <w:t xml:space="preserve"> </w:t>
            </w:r>
            <w:r>
              <w:rPr>
                <w:sz w:val="17"/>
              </w:rPr>
              <w:t xml:space="preserve">“</w:t>
            </w:r>
            <w:r>
              <w:rPr>
                <w:sz w:val="17"/>
              </w:rPr>
              <w:t xml:space="preserve">food</w:t>
            </w:r>
            <w:r>
              <w:rPr>
                <w:sz w:val="17"/>
              </w:rPr>
              <w:t xml:space="preserve">”</w:t>
            </w:r>
            <w:r>
              <w:rPr>
                <w:sz w:val="17"/>
              </w:rPr>
              <w:t xml:space="preserve"> </w:t>
            </w:r>
            <w:r>
              <w:rPr>
                <w:sz w:val="17"/>
              </w:rPr>
              <w:t xml:space="preserve">as distinct from the sauce (e.g. </w:t>
            </w:r>
            <w:r>
              <w:rPr>
                <w:sz w:val="17"/>
              </w:rPr>
              <w:t xml:space="preserve">“</w:t>
            </w:r>
            <w:r>
              <w:rPr>
                <w:sz w:val="17"/>
              </w:rPr>
              <w:t xml:space="preserve">food + beans</w:t>
            </w:r>
            <w:r>
              <w:rPr>
                <w:sz w:val="17"/>
              </w:rPr>
              <w:t xml:space="preserve">”</w:t>
            </w:r>
            <w:r>
              <w:rPr>
                <w:sz w:val="17"/>
              </w:rPr>
              <w:t xml:space="preserve">)</w:t>
            </w:r>
          </w:p>
        </w:tc>
        <w:tc>
          <w:tcPr/>
          <w:p>
            <w:pPr>
              <w:pStyle w:val="Compact"/>
              <w:jc w:val="left"/>
            </w:pPr>
            <w:r>
              <w:rPr>
                <w:sz w:val="17"/>
              </w:rPr>
              <w:t xml:space="preserve">S32 (indirect); consultant interpretation</w:t>
            </w:r>
          </w:p>
        </w:tc>
        <w:tc>
          <w:tcPr/>
          <w:p>
            <w:pPr>
              <w:pStyle w:val="Compact"/>
              <w:jc w:val="left"/>
            </w:pPr>
            <w:r>
              <w:rPr>
                <w:sz w:val="17"/>
              </w:rPr>
              <w:t xml:space="preserve">Candidate synonym; needs field validation</w:t>
            </w:r>
          </w:p>
        </w:tc>
      </w:tr>
      <w:tr>
        <w:tc>
          <w:tcPr/>
          <w:p>
            <w:pPr>
              <w:pStyle w:val="Compact"/>
              <w:jc w:val="left"/>
            </w:pPr>
            <w:r>
              <w:rPr>
                <w:bCs/>
                <w:b/>
                <w:sz w:val="17"/>
              </w:rPr>
              <w:t xml:space="preserve">Signature</w:t>
            </w:r>
          </w:p>
        </w:tc>
        <w:tc>
          <w:tcPr/>
          <w:p>
            <w:pPr>
              <w:pStyle w:val="Compact"/>
              <w:jc w:val="left"/>
            </w:pPr>
            <w:r>
              <w:rPr>
                <w:sz w:val="17"/>
              </w:rPr>
              <w:t xml:space="preserve">Used both as a menu section (</w:t>
            </w:r>
            <w:r>
              <w:rPr>
                <w:sz w:val="17"/>
              </w:rPr>
              <w:t xml:space="preserve">“</w:t>
            </w:r>
            <w:r>
              <w:rPr>
                <w:sz w:val="17"/>
              </w:rPr>
              <w:t xml:space="preserve">Signature Dishes</w:t>
            </w:r>
            <w:r>
              <w:rPr>
                <w:sz w:val="17"/>
              </w:rPr>
              <w:t xml:space="preserve">”</w:t>
            </w:r>
            <w:r>
              <w:rPr>
                <w:sz w:val="17"/>
              </w:rPr>
              <w:t xml:space="preserve">) and a cocktail type</w:t>
            </w:r>
          </w:p>
        </w:tc>
        <w:tc>
          <w:tcPr/>
          <w:p>
            <w:pPr>
              <w:pStyle w:val="Compact"/>
              <w:jc w:val="left"/>
            </w:pPr>
            <w:r>
              <w:rPr>
                <w:sz w:val="17"/>
              </w:rPr>
              <w:t xml:space="preserve">S17, S78</w:t>
            </w:r>
          </w:p>
        </w:tc>
        <w:tc>
          <w:tcPr/>
          <w:p>
            <w:pPr>
              <w:pStyle w:val="Compact"/>
              <w:jc w:val="left"/>
            </w:pPr>
            <w:r>
              <w:rPr>
                <w:sz w:val="17"/>
              </w:rPr>
              <w:t xml:space="preserve">Merchandising tag MK-SPC, not a category (B352 kept Optional for bars)</w:t>
            </w:r>
          </w:p>
        </w:tc>
      </w:tr>
      <w:tr>
        <w:tc>
          <w:tcPr/>
          <w:p>
            <w:pPr>
              <w:pStyle w:val="Compact"/>
              <w:jc w:val="left"/>
            </w:pPr>
            <w:r>
              <w:rPr>
                <w:bCs/>
                <w:b/>
                <w:sz w:val="17"/>
              </w:rPr>
              <w:t xml:space="preserve">Kids / Kiddy / Children’s</w:t>
            </w:r>
          </w:p>
        </w:tc>
        <w:tc>
          <w:tcPr/>
          <w:p>
            <w:pPr>
              <w:pStyle w:val="Compact"/>
              <w:jc w:val="left"/>
            </w:pPr>
            <w:r>
              <w:rPr>
                <w:sz w:val="17"/>
              </w:rPr>
              <w:t xml:space="preserve">A menu vs a category vs an audience</w:t>
            </w:r>
          </w:p>
        </w:tc>
        <w:tc>
          <w:tcPr/>
          <w:p>
            <w:pPr>
              <w:pStyle w:val="Compact"/>
              <w:jc w:val="left"/>
            </w:pPr>
            <w:r>
              <w:rPr>
                <w:sz w:val="17"/>
              </w:rPr>
              <w:t xml:space="preserve">S18, S59</w:t>
            </w:r>
          </w:p>
        </w:tc>
        <w:tc>
          <w:tcPr/>
          <w:p>
            <w:pPr>
              <w:pStyle w:val="Compact"/>
              <w:jc w:val="left"/>
            </w:pPr>
            <w:r>
              <w:rPr>
                <w:sz w:val="17"/>
              </w:rPr>
              <w:t xml:space="preserve">Named menu + AU-KID; never a food category</w:t>
            </w:r>
          </w:p>
        </w:tc>
      </w:tr>
      <w:tr>
        <w:tc>
          <w:tcPr/>
          <w:p>
            <w:pPr>
              <w:pStyle w:val="Compact"/>
              <w:jc w:val="left"/>
            </w:pPr>
            <w:r>
              <w:rPr>
                <w:bCs/>
                <w:b/>
                <w:sz w:val="17"/>
              </w:rPr>
              <w:t xml:space="preserve">Combo / Meal deal / Set menu / Table d’hôte</w:t>
            </w:r>
          </w:p>
        </w:tc>
        <w:tc>
          <w:tcPr/>
          <w:p>
            <w:pPr>
              <w:pStyle w:val="Compact"/>
              <w:jc w:val="left"/>
            </w:pPr>
            <w:r>
              <w:rPr>
                <w:sz w:val="17"/>
              </w:rPr>
              <w:t xml:space="preserve">Commercial structures presented as menu headings</w:t>
            </w:r>
          </w:p>
        </w:tc>
        <w:tc>
          <w:tcPr/>
          <w:p>
            <w:pPr>
              <w:pStyle w:val="Compact"/>
              <w:jc w:val="left"/>
            </w:pPr>
            <w:r>
              <w:rPr>
                <w:sz w:val="17"/>
              </w:rPr>
              <w:t xml:space="preserve">S19, S59</w:t>
            </w:r>
          </w:p>
        </w:tc>
        <w:tc>
          <w:tcPr/>
          <w:p>
            <w:pPr>
              <w:pStyle w:val="Compact"/>
              <w:jc w:val="left"/>
            </w:pPr>
            <w:r>
              <w:rPr>
                <w:sz w:val="17"/>
              </w:rPr>
              <w:t xml:space="preserve">Bundles (STR-BND); not categories</w:t>
            </w:r>
          </w:p>
        </w:tc>
      </w:tr>
    </w:tbl>
    <w:bookmarkEnd w:id="21"/>
    <w:bookmarkStart w:id="22" w:name="uncertain-classifications"/>
    <w:p>
      <w:pPr>
        <w:pStyle w:val="Heading1"/>
      </w:pPr>
      <w:r>
        <w:t xml:space="preserve">3. Uncertain classifications</w:t>
      </w:r>
    </w:p>
    <w:tbl>
      <w:tblPr>
        <w:tblStyle w:val="Table"/>
        <w:tblW w:type="pct" w:w="5000"/>
        <w:tblLook w:firstRow="1" w:lastRow="0" w:firstColumn="0" w:lastColumn="0" w:noHBand="0" w:noVBand="0" w:val="0020"/>
        <w:jc w:val="start"/>
        <w:tblBorders>
          <w:top w:val="single" w:sz="4" w:color="B8C4CC"/>
          <w:left w:val="single" w:sz="4" w:color="B8C4CC"/>
          <w:bottom w:val="single" w:sz="4" w:color="B8C4CC"/>
          <w:right w:val="single" w:sz="4" w:color="B8C4CC"/>
          <w:insideH w:val="single" w:sz="4" w:color="B8C4CC"/>
          <w:insideV w:val="single" w:sz="4" w:color="B8C4CC"/>
        </w:tblBorders>
      </w:tblPr>
      <w:tblGrid>
        <w:gridCol w:w="1980"/>
        <w:gridCol w:w="1980"/>
        <w:gridCol w:w="1980"/>
        <w:gridCol w:w="1980"/>
      </w:tblGrid>
      <w:tr>
        <w:trPr>
          <w:tblHeader w:val="true"/>
        </w:trPr>
        <w:tc>
          <w:tcPr>
            <w:shd w:val="clear" w:fill="DCE8EF"/>
          </w:tcPr>
          <w:p>
            <w:pPr>
              <w:pStyle w:val="Compact"/>
              <w:jc w:val="left"/>
            </w:pPr>
            <w:r>
              <w:rPr>
                <w:sz w:val="17"/>
              </w:rPr>
              <w:t xml:space="preserve">Item</w:t>
            </w:r>
          </w:p>
        </w:tc>
        <w:tc>
          <w:tcPr>
            <w:shd w:val="clear" w:fill="DCE8EF"/>
          </w:tcPr>
          <w:p>
            <w:pPr>
              <w:pStyle w:val="Compact"/>
              <w:jc w:val="left"/>
            </w:pPr>
            <w:r>
              <w:rPr>
                <w:sz w:val="17"/>
              </w:rPr>
              <w:t xml:space="preserve">Candidate placements</w:t>
            </w:r>
          </w:p>
        </w:tc>
        <w:tc>
          <w:tcPr>
            <w:shd w:val="clear" w:fill="DCE8EF"/>
          </w:tcPr>
          <w:p>
            <w:pPr>
              <w:pStyle w:val="Compact"/>
              <w:jc w:val="left"/>
            </w:pPr>
            <w:r>
              <w:rPr>
                <w:sz w:val="17"/>
              </w:rPr>
              <w:t xml:space="preserve">Why uncertain</w:t>
            </w:r>
          </w:p>
        </w:tc>
        <w:tc>
          <w:tcPr>
            <w:shd w:val="clear" w:fill="DCE8EF"/>
          </w:tcPr>
          <w:p>
            <w:pPr>
              <w:pStyle w:val="Compact"/>
              <w:jc w:val="left"/>
            </w:pPr>
            <w:r>
              <w:rPr>
                <w:sz w:val="17"/>
              </w:rPr>
              <w:t xml:space="preserve">Proposed for now</w:t>
            </w:r>
          </w:p>
        </w:tc>
      </w:tr>
      <w:tr>
        <w:tc>
          <w:tcPr/>
          <w:p>
            <w:pPr>
              <w:pStyle w:val="Compact"/>
              <w:jc w:val="left"/>
            </w:pPr>
            <w:r>
              <w:rPr>
                <w:sz w:val="17"/>
              </w:rPr>
              <w:t xml:space="preserve">Rolex</w:t>
            </w:r>
          </w:p>
        </w:tc>
        <w:tc>
          <w:tcPr/>
          <w:p>
            <w:pPr>
              <w:pStyle w:val="Compact"/>
              <w:jc w:val="left"/>
            </w:pPr>
            <w:r>
              <w:rPr>
                <w:sz w:val="17"/>
              </w:rPr>
              <w:t xml:space="preserve">F703 Wraps vs F110 Egg dishes vs F800 Street food</w:t>
            </w:r>
          </w:p>
        </w:tc>
        <w:tc>
          <w:tcPr/>
          <w:p>
            <w:pPr>
              <w:pStyle w:val="Compact"/>
              <w:jc w:val="left"/>
            </w:pPr>
            <w:r>
              <w:rPr>
                <w:sz w:val="17"/>
              </w:rPr>
              <w:t xml:space="preserve">Wrap form, egg content, street sale</w:t>
            </w:r>
          </w:p>
        </w:tc>
        <w:tc>
          <w:tcPr/>
          <w:p>
            <w:pPr>
              <w:pStyle w:val="Compact"/>
              <w:jc w:val="left"/>
            </w:pPr>
            <w:r>
              <w:rPr>
                <w:sz w:val="17"/>
              </w:rPr>
              <w:t xml:space="preserve">F703 primary; F050 secondary</w:t>
            </w:r>
          </w:p>
        </w:tc>
      </w:tr>
      <w:tr>
        <w:tc>
          <w:tcPr/>
          <w:p>
            <w:pPr>
              <w:pStyle w:val="Compact"/>
              <w:jc w:val="left"/>
            </w:pPr>
            <w:r>
              <w:rPr>
                <w:sz w:val="17"/>
              </w:rPr>
              <w:t xml:space="preserve">Katogo</w:t>
            </w:r>
          </w:p>
        </w:tc>
        <w:tc>
          <w:tcPr/>
          <w:p>
            <w:pPr>
              <w:pStyle w:val="Compact"/>
              <w:jc w:val="left"/>
            </w:pPr>
            <w:r>
              <w:rPr>
                <w:sz w:val="17"/>
              </w:rPr>
              <w:t xml:space="preserve">F605 One-pots vs F050 Breakfast</w:t>
            </w:r>
          </w:p>
        </w:tc>
        <w:tc>
          <w:tcPr/>
          <w:p>
            <w:pPr>
              <w:pStyle w:val="Compact"/>
              <w:jc w:val="left"/>
            </w:pPr>
            <w:r>
              <w:rPr>
                <w:sz w:val="17"/>
              </w:rPr>
              <w:t xml:space="preserve">Strong breakfast association, but a dish form of its own</w:t>
            </w:r>
          </w:p>
        </w:tc>
        <w:tc>
          <w:tcPr/>
          <w:p>
            <w:pPr>
              <w:pStyle w:val="Compact"/>
              <w:jc w:val="left"/>
            </w:pPr>
            <w:r>
              <w:rPr>
                <w:sz w:val="17"/>
              </w:rPr>
              <w:t xml:space="preserve">F605; OCC-BRK</w:t>
            </w:r>
          </w:p>
        </w:tc>
      </w:tr>
      <w:tr>
        <w:tc>
          <w:tcPr/>
          <w:p>
            <w:pPr>
              <w:pStyle w:val="Compact"/>
              <w:jc w:val="left"/>
            </w:pPr>
            <w:r>
              <w:rPr>
                <w:sz w:val="17"/>
              </w:rPr>
              <w:t xml:space="preserve">Moi moi (steamed bean pudding)</w:t>
            </w:r>
          </w:p>
        </w:tc>
        <w:tc>
          <w:tcPr/>
          <w:p>
            <w:pPr>
              <w:pStyle w:val="Compact"/>
              <w:jc w:val="left"/>
            </w:pPr>
            <w:r>
              <w:rPr>
                <w:sz w:val="17"/>
              </w:rPr>
              <w:t xml:space="preserve">F404 Legume stews vs a new</w:t>
            </w:r>
            <w:r>
              <w:rPr>
                <w:sz w:val="17"/>
              </w:rPr>
              <w:t xml:space="preserve"> </w:t>
            </w:r>
            <w:r>
              <w:rPr>
                <w:sz w:val="17"/>
              </w:rPr>
              <w:t xml:space="preserve">“</w:t>
            </w:r>
            <w:r>
              <w:rPr>
                <w:sz w:val="17"/>
              </w:rPr>
              <w:t xml:space="preserve">steamed cakes</w:t>
            </w:r>
            <w:r>
              <w:rPr>
                <w:sz w:val="17"/>
              </w:rPr>
              <w:t xml:space="preserve">”</w:t>
            </w:r>
            <w:r>
              <w:rPr>
                <w:sz w:val="17"/>
              </w:rPr>
              <w:t xml:space="preserve"> </w:t>
            </w:r>
            <w:r>
              <w:rPr>
                <w:sz w:val="17"/>
              </w:rPr>
              <w:t xml:space="preserve">subcategory</w:t>
            </w:r>
          </w:p>
        </w:tc>
        <w:tc>
          <w:tcPr/>
          <w:p>
            <w:pPr>
              <w:pStyle w:val="Compact"/>
              <w:jc w:val="left"/>
            </w:pPr>
            <w:r>
              <w:rPr>
                <w:sz w:val="17"/>
              </w:rPr>
              <w:t xml:space="preserve">Neither fits well</w:t>
            </w:r>
          </w:p>
        </w:tc>
        <w:tc>
          <w:tcPr/>
          <w:p>
            <w:pPr>
              <w:pStyle w:val="Compact"/>
              <w:jc w:val="left"/>
            </w:pPr>
            <w:r>
              <w:rPr>
                <w:sz w:val="17"/>
              </w:rPr>
              <w:t xml:space="preserve">F404 provisional; candidate new subcategory</w:t>
            </w:r>
          </w:p>
        </w:tc>
      </w:tr>
      <w:tr>
        <w:tc>
          <w:tcPr/>
          <w:p>
            <w:pPr>
              <w:pStyle w:val="Compact"/>
              <w:jc w:val="left"/>
            </w:pPr>
            <w:r>
              <w:rPr>
                <w:sz w:val="17"/>
              </w:rPr>
              <w:t xml:space="preserve">Chakalaka</w:t>
            </w:r>
          </w:p>
        </w:tc>
        <w:tc>
          <w:tcPr/>
          <w:p>
            <w:pPr>
              <w:pStyle w:val="Compact"/>
              <w:jc w:val="left"/>
            </w:pPr>
            <w:r>
              <w:rPr>
                <w:sz w:val="17"/>
              </w:rPr>
              <w:t xml:space="preserve">F972 Relish vs F961 Cooked greens</w:t>
            </w:r>
          </w:p>
        </w:tc>
        <w:tc>
          <w:tcPr/>
          <w:p>
            <w:pPr>
              <w:pStyle w:val="Compact"/>
              <w:jc w:val="left"/>
            </w:pPr>
            <w:r>
              <w:rPr>
                <w:sz w:val="17"/>
              </w:rPr>
              <w:t xml:space="preserve">Cooked relish</w:t>
            </w:r>
          </w:p>
        </w:tc>
        <w:tc>
          <w:tcPr/>
          <w:p>
            <w:pPr>
              <w:pStyle w:val="Compact"/>
              <w:jc w:val="left"/>
            </w:pPr>
            <w:r>
              <w:rPr>
                <w:sz w:val="17"/>
              </w:rPr>
              <w:t xml:space="preserve">F972</w:t>
            </w:r>
          </w:p>
        </w:tc>
      </w:tr>
      <w:tr>
        <w:tc>
          <w:tcPr/>
          <w:p>
            <w:pPr>
              <w:pStyle w:val="Compact"/>
              <w:jc w:val="left"/>
            </w:pPr>
            <w:r>
              <w:rPr>
                <w:sz w:val="17"/>
              </w:rPr>
              <w:t xml:space="preserve">Kachumbari</w:t>
            </w:r>
          </w:p>
        </w:tc>
        <w:tc>
          <w:tcPr/>
          <w:p>
            <w:pPr>
              <w:pStyle w:val="Compact"/>
              <w:jc w:val="left"/>
            </w:pPr>
            <w:r>
              <w:rPr>
                <w:sz w:val="17"/>
              </w:rPr>
              <w:t xml:space="preserve">F972 Relish vs F201 Salad</w:t>
            </w:r>
          </w:p>
        </w:tc>
        <w:tc>
          <w:tcPr/>
          <w:p>
            <w:pPr>
              <w:pStyle w:val="Compact"/>
              <w:jc w:val="left"/>
            </w:pPr>
            <w:r>
              <w:rPr>
                <w:sz w:val="17"/>
              </w:rPr>
              <w:t xml:space="preserve">Served as a relish, called a salad</w:t>
            </w:r>
          </w:p>
        </w:tc>
        <w:tc>
          <w:tcPr/>
          <w:p>
            <w:pPr>
              <w:pStyle w:val="Compact"/>
              <w:jc w:val="left"/>
            </w:pPr>
            <w:r>
              <w:rPr>
                <w:sz w:val="17"/>
              </w:rPr>
              <w:t xml:space="preserve">F972;</w:t>
            </w:r>
            <w:r>
              <w:rPr>
                <w:sz w:val="17"/>
              </w:rPr>
              <w:t xml:space="preserve"> </w:t>
            </w:r>
            <w:r>
              <w:rPr>
                <w:sz w:val="17"/>
              </w:rPr>
              <w:t xml:space="preserve">“</w:t>
            </w:r>
            <w:r>
              <w:rPr>
                <w:sz w:val="17"/>
              </w:rPr>
              <w:t xml:space="preserve">salad</w:t>
            </w:r>
            <w:r>
              <w:rPr>
                <w:sz w:val="17"/>
              </w:rPr>
              <w:t xml:space="preserve">”</w:t>
            </w:r>
            <w:r>
              <w:rPr>
                <w:sz w:val="17"/>
              </w:rPr>
              <w:t xml:space="preserve"> </w:t>
            </w:r>
            <w:r>
              <w:rPr>
                <w:sz w:val="17"/>
              </w:rPr>
              <w:t xml:space="preserve">as synonym</w:t>
            </w:r>
          </w:p>
        </w:tc>
      </w:tr>
      <w:tr>
        <w:tc>
          <w:tcPr/>
          <w:p>
            <w:pPr>
              <w:pStyle w:val="Compact"/>
              <w:jc w:val="left"/>
            </w:pPr>
            <w:r>
              <w:rPr>
                <w:sz w:val="17"/>
              </w:rPr>
              <w:t xml:space="preserve">Bunny chow</w:t>
            </w:r>
          </w:p>
        </w:tc>
        <w:tc>
          <w:tcPr/>
          <w:p>
            <w:pPr>
              <w:pStyle w:val="Compact"/>
              <w:jc w:val="left"/>
            </w:pPr>
            <w:r>
              <w:rPr>
                <w:sz w:val="17"/>
              </w:rPr>
              <w:t xml:space="preserve">F704 Filled loaves vs F402 Curries</w:t>
            </w:r>
          </w:p>
        </w:tc>
        <w:tc>
          <w:tcPr/>
          <w:p>
            <w:pPr>
              <w:pStyle w:val="Compact"/>
              <w:jc w:val="left"/>
            </w:pPr>
            <w:r>
              <w:rPr>
                <w:sz w:val="17"/>
              </w:rPr>
              <w:t xml:space="preserve">Bread container vs curry content</w:t>
            </w:r>
          </w:p>
        </w:tc>
        <w:tc>
          <w:tcPr/>
          <w:p>
            <w:pPr>
              <w:pStyle w:val="Compact"/>
              <w:jc w:val="left"/>
            </w:pPr>
            <w:r>
              <w:rPr>
                <w:sz w:val="17"/>
              </w:rPr>
              <w:t xml:space="preserve">F704</w:t>
            </w:r>
          </w:p>
        </w:tc>
      </w:tr>
      <w:tr>
        <w:tc>
          <w:tcPr/>
          <w:p>
            <w:pPr>
              <w:pStyle w:val="Compact"/>
              <w:jc w:val="left"/>
            </w:pPr>
            <w:r>
              <w:rPr>
                <w:sz w:val="17"/>
              </w:rPr>
              <w:t xml:space="preserve">Dawa</w:t>
            </w:r>
          </w:p>
        </w:tc>
        <w:tc>
          <w:tcPr/>
          <w:p>
            <w:pPr>
              <w:pStyle w:val="Compact"/>
              <w:jc w:val="left"/>
            </w:pPr>
            <w:r>
              <w:rPr>
                <w:sz w:val="17"/>
              </w:rPr>
              <w:t xml:space="preserve">B114 (hot honey-lemon-ginger) vs B352 (vodka cocktail)</w:t>
            </w:r>
          </w:p>
        </w:tc>
        <w:tc>
          <w:tcPr/>
          <w:p>
            <w:pPr>
              <w:pStyle w:val="Compact"/>
              <w:jc w:val="left"/>
            </w:pPr>
            <w:r>
              <w:rPr>
                <w:sz w:val="17"/>
              </w:rPr>
              <w:t xml:space="preserve">The same word for two drinks in Kenya</w:t>
            </w:r>
          </w:p>
        </w:tc>
        <w:tc>
          <w:tcPr/>
          <w:p>
            <w:pPr>
              <w:pStyle w:val="Compact"/>
              <w:jc w:val="left"/>
            </w:pPr>
            <w:r>
              <w:rPr>
                <w:sz w:val="17"/>
              </w:rPr>
              <w:t xml:space="preserve">Two items; disambiguate by alcohol content</w:t>
            </w:r>
          </w:p>
        </w:tc>
      </w:tr>
      <w:tr>
        <w:tc>
          <w:tcPr/>
          <w:p>
            <w:pPr>
              <w:pStyle w:val="Compact"/>
              <w:jc w:val="left"/>
            </w:pPr>
            <w:r>
              <w:rPr>
                <w:sz w:val="17"/>
              </w:rPr>
              <w:t xml:space="preserve">Melange</w:t>
            </w:r>
          </w:p>
        </w:tc>
        <w:tc>
          <w:tcPr/>
          <w:p>
            <w:pPr>
              <w:pStyle w:val="Compact"/>
              <w:jc w:val="left"/>
            </w:pPr>
            <w:r>
              <w:rPr>
                <w:sz w:val="17"/>
              </w:rPr>
              <w:t xml:space="preserve">F981 Buffet vs a cuisine-specific dish</w:t>
            </w:r>
          </w:p>
        </w:tc>
        <w:tc>
          <w:tcPr/>
          <w:p>
            <w:pPr>
              <w:pStyle w:val="Compact"/>
              <w:jc w:val="left"/>
            </w:pPr>
            <w:r>
              <w:rPr>
                <w:sz w:val="17"/>
              </w:rPr>
              <w:t xml:space="preserve">Word also means</w:t>
            </w:r>
            <w:r>
              <w:rPr>
                <w:sz w:val="17"/>
              </w:rPr>
              <w:t xml:space="preserve"> </w:t>
            </w:r>
            <w:r>
              <w:rPr>
                <w:sz w:val="17"/>
              </w:rPr>
              <w:t xml:space="preserve">“</w:t>
            </w:r>
            <w:r>
              <w:rPr>
                <w:sz w:val="17"/>
              </w:rPr>
              <w:t xml:space="preserve">mixed plate</w:t>
            </w:r>
            <w:r>
              <w:rPr>
                <w:sz w:val="17"/>
              </w:rPr>
              <w:t xml:space="preserve">”</w:t>
            </w:r>
          </w:p>
        </w:tc>
        <w:tc>
          <w:tcPr/>
          <w:p>
            <w:pPr>
              <w:pStyle w:val="Compact"/>
              <w:jc w:val="left"/>
            </w:pPr>
            <w:r>
              <w:rPr>
                <w:sz w:val="17"/>
              </w:rPr>
              <w:t xml:space="preserve">F981-01</w:t>
            </w:r>
          </w:p>
        </w:tc>
      </w:tr>
      <w:tr>
        <w:tc>
          <w:tcPr/>
          <w:p>
            <w:pPr>
              <w:pStyle w:val="Compact"/>
              <w:jc w:val="left"/>
            </w:pPr>
            <w:r>
              <w:rPr>
                <w:sz w:val="17"/>
              </w:rPr>
              <w:t xml:space="preserve">Buffet</w:t>
            </w:r>
            <w:r>
              <w:rPr>
                <w:sz w:val="17"/>
              </w:rPr>
              <w:t xml:space="preserve"> </w:t>
            </w:r>
            <w:r>
              <w:rPr>
                <w:sz w:val="17"/>
              </w:rPr>
              <w:t xml:space="preserve">“</w:t>
            </w:r>
            <w:r>
              <w:rPr>
                <w:sz w:val="17"/>
              </w:rPr>
              <w:t xml:space="preserve">per plate</w:t>
            </w:r>
            <w:r>
              <w:rPr>
                <w:sz w:val="17"/>
              </w:rPr>
              <w:t xml:space="preserve">”</w:t>
            </w:r>
            <w:r>
              <w:rPr>
                <w:sz w:val="17"/>
              </w:rPr>
              <w:t xml:space="preserve"> </w:t>
            </w:r>
            <w:r>
              <w:rPr>
                <w:sz w:val="17"/>
              </w:rPr>
              <w:t xml:space="preserve">pricing</w:t>
            </w:r>
          </w:p>
        </w:tc>
        <w:tc>
          <w:tcPr/>
          <w:p>
            <w:pPr>
              <w:pStyle w:val="Compact"/>
              <w:jc w:val="left"/>
            </w:pPr>
            <w:r>
              <w:rPr>
                <w:sz w:val="17"/>
              </w:rPr>
              <w:t xml:space="preserve">Item vs bundle</w:t>
            </w:r>
          </w:p>
        </w:tc>
        <w:tc>
          <w:tcPr/>
          <w:p>
            <w:pPr>
              <w:pStyle w:val="Compact"/>
              <w:jc w:val="left"/>
            </w:pPr>
            <w:r>
              <w:rPr>
                <w:sz w:val="17"/>
              </w:rPr>
              <w:t xml:space="preserve">Price per plate with free choice</w:t>
            </w:r>
          </w:p>
        </w:tc>
        <w:tc>
          <w:tcPr/>
          <w:p>
            <w:pPr>
              <w:pStyle w:val="Compact"/>
              <w:jc w:val="left"/>
            </w:pPr>
            <w:r>
              <w:rPr>
                <w:sz w:val="17"/>
              </w:rPr>
              <w:t xml:space="preserve">Item with variant (one plate / two plates)</w:t>
            </w:r>
          </w:p>
        </w:tc>
      </w:tr>
      <w:tr>
        <w:tc>
          <w:tcPr/>
          <w:p>
            <w:pPr>
              <w:pStyle w:val="Compact"/>
              <w:jc w:val="left"/>
            </w:pPr>
            <w:r>
              <w:rPr>
                <w:sz w:val="17"/>
              </w:rPr>
              <w:t xml:space="preserve">Iced coffee</w:t>
            </w:r>
          </w:p>
        </w:tc>
        <w:tc>
          <w:tcPr/>
          <w:p>
            <w:pPr>
              <w:pStyle w:val="Compact"/>
              <w:jc w:val="left"/>
            </w:pPr>
            <w:r>
              <w:rPr>
                <w:sz w:val="17"/>
              </w:rPr>
              <w:t xml:space="preserve">B100 vs B220</w:t>
            </w:r>
          </w:p>
        </w:tc>
        <w:tc>
          <w:tcPr/>
          <w:p>
            <w:pPr>
              <w:pStyle w:val="Compact"/>
              <w:jc w:val="left"/>
            </w:pPr>
            <w:r>
              <w:rPr>
                <w:sz w:val="17"/>
              </w:rPr>
              <w:t xml:space="preserve">See duplicate #10</w:t>
            </w:r>
          </w:p>
        </w:tc>
        <w:tc>
          <w:tcPr/>
          <w:p>
            <w:pPr>
              <w:pStyle w:val="Compact"/>
              <w:jc w:val="left"/>
            </w:pPr>
            <w:r>
              <w:rPr>
                <w:sz w:val="17"/>
              </w:rPr>
              <w:t xml:space="preserve">B100 + SV-TMP</w:t>
            </w:r>
          </w:p>
        </w:tc>
      </w:tr>
    </w:tbl>
    <w:bookmarkEnd w:id="22"/>
    <w:bookmarkStart w:id="23" w:name="X0dba801f4b1a7a403d09618c89ae0614593db22"/>
    <w:p>
      <w:pPr>
        <w:pStyle w:val="Heading1"/>
      </w:pPr>
      <w:r>
        <w:t xml:space="preserve">4. Underrepresented cuisines and business types</w:t>
      </w:r>
    </w:p>
    <w:p>
      <w:pPr>
        <w:pStyle w:val="FirstParagraph"/>
      </w:pPr>
      <w:r>
        <w:rPr>
          <w:bCs/>
          <w:b/>
        </w:rPr>
        <w:t xml:space="preserve">Cuisines with little or no evidence in this study:</w:t>
      </w:r>
    </w:p>
    <w:p>
      <w:pPr>
        <w:numPr>
          <w:ilvl w:val="0"/>
          <w:numId w:val="1001"/>
        </w:numPr>
        <w:pStyle w:val="Compact"/>
      </w:pPr>
      <w:r>
        <w:t xml:space="preserve">Somali and Swahili-Arab (significant in Nairobi, Eastleigh, Mombasa)</w:t>
      </w:r>
    </w:p>
    <w:p>
      <w:pPr>
        <w:numPr>
          <w:ilvl w:val="0"/>
          <w:numId w:val="1001"/>
        </w:numPr>
        <w:pStyle w:val="Compact"/>
      </w:pPr>
      <w:r>
        <w:t xml:space="preserve">Indian-East African (beyond a few menus)</w:t>
      </w:r>
    </w:p>
    <w:p>
      <w:pPr>
        <w:numPr>
          <w:ilvl w:val="0"/>
          <w:numId w:val="1001"/>
        </w:numPr>
        <w:pStyle w:val="Compact"/>
      </w:pPr>
      <w:r>
        <w:t xml:space="preserve">Chinese-African</w:t>
      </w:r>
    </w:p>
    <w:p>
      <w:pPr>
        <w:numPr>
          <w:ilvl w:val="0"/>
          <w:numId w:val="1001"/>
        </w:numPr>
        <w:pStyle w:val="Compact"/>
      </w:pPr>
      <w:r>
        <w:t xml:space="preserve">Lebanese and Turkish (common in Kigali and Kampala)</w:t>
      </w:r>
    </w:p>
    <w:p>
      <w:pPr>
        <w:numPr>
          <w:ilvl w:val="0"/>
          <w:numId w:val="1001"/>
        </w:numPr>
        <w:pStyle w:val="Compact"/>
      </w:pPr>
      <w:r>
        <w:t xml:space="preserve">Ghanaian, Senegalese, Cameroonian</w:t>
      </w:r>
    </w:p>
    <w:p>
      <w:pPr>
        <w:numPr>
          <w:ilvl w:val="0"/>
          <w:numId w:val="1001"/>
        </w:numPr>
        <w:pStyle w:val="Compact"/>
      </w:pPr>
      <w:r>
        <w:t xml:space="preserve">Zambian, Zimbabwean, Malawian</w:t>
      </w:r>
    </w:p>
    <w:p>
      <w:pPr>
        <w:numPr>
          <w:ilvl w:val="0"/>
          <w:numId w:val="1001"/>
        </w:numPr>
        <w:pStyle w:val="Compact"/>
      </w:pPr>
      <w:r>
        <w:t xml:space="preserve">Sudanese and South Sudanese</w:t>
      </w:r>
    </w:p>
    <w:p>
      <w:pPr>
        <w:numPr>
          <w:ilvl w:val="0"/>
          <w:numId w:val="1001"/>
        </w:numPr>
        <w:pStyle w:val="Compact"/>
      </w:pPr>
      <w:r>
        <w:t xml:space="preserve">Eritrean</w:t>
      </w:r>
    </w:p>
    <w:p>
      <w:pPr>
        <w:numPr>
          <w:ilvl w:val="0"/>
          <w:numId w:val="1001"/>
        </w:numPr>
        <w:pStyle w:val="Compact"/>
      </w:pPr>
      <w:r>
        <w:t xml:space="preserve">Malagasy and Mauritian</w:t>
      </w:r>
    </w:p>
    <w:p>
      <w:pPr>
        <w:pStyle w:val="FirstParagraph"/>
      </w:pPr>
      <w:r>
        <w:rPr>
          <w:bCs/>
          <w:b/>
        </w:rPr>
        <w:t xml:space="preserve">Business types with weak evidence:</w:t>
      </w:r>
    </w:p>
    <w:p>
      <w:pPr>
        <w:numPr>
          <w:ilvl w:val="0"/>
          <w:numId w:val="1002"/>
        </w:numPr>
        <w:pStyle w:val="Compact"/>
      </w:pPr>
      <w:r>
        <w:t xml:space="preserve">Fine dining in East Africa</w:t>
      </w:r>
    </w:p>
    <w:p>
      <w:pPr>
        <w:numPr>
          <w:ilvl w:val="0"/>
          <w:numId w:val="1002"/>
        </w:numPr>
        <w:pStyle w:val="Compact"/>
      </w:pPr>
      <w:r>
        <w:t xml:space="preserve">Delivery-only kitchens in East Africa</w:t>
      </w:r>
    </w:p>
    <w:p>
      <w:pPr>
        <w:numPr>
          <w:ilvl w:val="0"/>
          <w:numId w:val="1002"/>
        </w:numPr>
        <w:pStyle w:val="Compact"/>
      </w:pPr>
      <w:r>
        <w:t xml:space="preserve">Food halls</w:t>
      </w:r>
    </w:p>
    <w:p>
      <w:pPr>
        <w:numPr>
          <w:ilvl w:val="0"/>
          <w:numId w:val="1002"/>
        </w:numPr>
        <w:pStyle w:val="Compact"/>
      </w:pPr>
      <w:r>
        <w:t xml:space="preserve">University and corporate canteens</w:t>
      </w:r>
    </w:p>
    <w:p>
      <w:pPr>
        <w:numPr>
          <w:ilvl w:val="0"/>
          <w:numId w:val="1002"/>
        </w:numPr>
        <w:pStyle w:val="Compact"/>
      </w:pPr>
      <w:r>
        <w:t xml:space="preserve">Confectionery shops</w:t>
      </w:r>
    </w:p>
    <w:p>
      <w:pPr>
        <w:numPr>
          <w:ilvl w:val="0"/>
          <w:numId w:val="1002"/>
        </w:numPr>
        <w:pStyle w:val="Compact"/>
      </w:pPr>
      <w:r>
        <w:t xml:space="preserve">Juice bars</w:t>
      </w:r>
    </w:p>
    <w:bookmarkEnd w:id="23"/>
    <w:bookmarkStart w:id="24" w:name="weaknesses-in-available-evidence"/>
    <w:p>
      <w:pPr>
        <w:pStyle w:val="Heading1"/>
      </w:pPr>
      <w:r>
        <w:t xml:space="preserve">5. Weaknesses in available evidence</w:t>
      </w:r>
    </w:p>
    <w:p>
      <w:pPr>
        <w:numPr>
          <w:ilvl w:val="0"/>
          <w:numId w:val="1003"/>
        </w:numPr>
        <w:pStyle w:val="Compact"/>
      </w:pPr>
      <w:r>
        <w:rPr>
          <w:bCs/>
          <w:b/>
        </w:rPr>
        <w:t xml:space="preserve">Burundi.</w:t>
      </w:r>
      <w:r>
        <w:t xml:space="preserve"> </w:t>
      </w:r>
      <w:r>
        <w:t xml:space="preserve">Four sources only (S28–S31), mainly tourism content. Section practices and Kirundi terminology are unverified.</w:t>
      </w:r>
    </w:p>
    <w:p>
      <w:pPr>
        <w:numPr>
          <w:ilvl w:val="0"/>
          <w:numId w:val="1003"/>
        </w:numPr>
        <w:pStyle w:val="Compact"/>
      </w:pPr>
      <w:r>
        <w:rPr>
          <w:bCs/>
          <w:b/>
        </w:rPr>
        <w:t xml:space="preserve">Travel-guide bias.</w:t>
      </w:r>
      <w:r>
        <w:t xml:space="preserve"> </w:t>
      </w:r>
      <w:r>
        <w:t xml:space="preserve">Many East African dish descriptions come from tourism content that favours</w:t>
      </w:r>
      <w:r>
        <w:t xml:space="preserve"> </w:t>
      </w:r>
      <w:r>
        <w:t xml:space="preserve">“</w:t>
      </w:r>
      <w:r>
        <w:t xml:space="preserve">signature</w:t>
      </w:r>
      <w:r>
        <w:t xml:space="preserve">”</w:t>
      </w:r>
      <w:r>
        <w:t xml:space="preserve"> </w:t>
      </w:r>
      <w:r>
        <w:t xml:space="preserve">dishes over everyday menu items.</w:t>
      </w:r>
    </w:p>
    <w:p>
      <w:pPr>
        <w:numPr>
          <w:ilvl w:val="0"/>
          <w:numId w:val="1003"/>
        </w:numPr>
        <w:pStyle w:val="Compact"/>
      </w:pPr>
      <w:r>
        <w:rPr>
          <w:bCs/>
          <w:b/>
        </w:rPr>
        <w:t xml:space="preserve">Diaspora menus.</w:t>
      </w:r>
      <w:r>
        <w:t xml:space="preserve"> </w:t>
      </w:r>
      <w:r>
        <w:t xml:space="preserve">West African structure is drawn mainly from UK and US delivery listings (S46–S48), which may differ from Lagos or Accra practice.</w:t>
      </w:r>
    </w:p>
    <w:p>
      <w:pPr>
        <w:numPr>
          <w:ilvl w:val="0"/>
          <w:numId w:val="1003"/>
        </w:numPr>
        <w:pStyle w:val="Compact"/>
      </w:pPr>
      <w:r>
        <w:rPr>
          <w:bCs/>
          <w:b/>
        </w:rPr>
        <w:t xml:space="preserve">National allergen law</w:t>
      </w:r>
      <w:r>
        <w:t xml:space="preserve"> </w:t>
      </w:r>
      <w:r>
        <w:t xml:space="preserve">for restaurant food in the five priority countries was not located. Only EU/UK, US and Codex were verified.</w:t>
      </w:r>
    </w:p>
    <w:p>
      <w:pPr>
        <w:numPr>
          <w:ilvl w:val="0"/>
          <w:numId w:val="1003"/>
        </w:numPr>
        <w:pStyle w:val="Compact"/>
      </w:pPr>
      <w:r>
        <w:rPr>
          <w:bCs/>
          <w:b/>
        </w:rPr>
        <w:t xml:space="preserve">Platform documentation</w:t>
      </w:r>
      <w:r>
        <w:t xml:space="preserve"> </w:t>
      </w:r>
      <w:r>
        <w:t xml:space="preserve">describes data models, not customer behaviour. Search behaviour in East Africa (e.g. dish names vs protein vs venue) was not studied.</w:t>
      </w:r>
    </w:p>
    <w:p>
      <w:pPr>
        <w:numPr>
          <w:ilvl w:val="0"/>
          <w:numId w:val="1003"/>
        </w:numPr>
        <w:pStyle w:val="Compact"/>
      </w:pPr>
      <w:r>
        <w:rPr>
          <w:bCs/>
          <w:b/>
        </w:rPr>
        <w:t xml:space="preserve">Language.</w:t>
      </w:r>
      <w:r>
        <w:t xml:space="preserve"> </w:t>
      </w:r>
      <w:r>
        <w:t xml:space="preserve">No native-speaker validation; synonyms marked</w:t>
      </w:r>
      <w:r>
        <w:t xml:space="preserve"> </w:t>
      </w:r>
      <w:r>
        <w:t xml:space="preserve">“</w:t>
      </w:r>
      <w:r>
        <w:t xml:space="preserve">unverified</w:t>
      </w:r>
      <w:r>
        <w:t xml:space="preserve">”</w:t>
      </w:r>
      <w:r>
        <w:t xml:space="preserve"> </w:t>
      </w:r>
      <w:r>
        <w:t xml:space="preserve">in D2.</w:t>
      </w:r>
    </w:p>
    <w:p>
      <w:pPr>
        <w:numPr>
          <w:ilvl w:val="0"/>
          <w:numId w:val="1003"/>
        </w:numPr>
        <w:pStyle w:val="Compact"/>
      </w:pPr>
      <w:r>
        <w:rPr>
          <w:bCs/>
          <w:b/>
        </w:rPr>
        <w:t xml:space="preserve">Scanned and mirrored sources</w:t>
      </w:r>
      <w:r>
        <w:t xml:space="preserve"> </w:t>
      </w:r>
      <w:r>
        <w:t xml:space="preserve">(Scribd menus; a non-production Lonely Planet mirror, S42) are lower-confidence copies of primary material.</w:t>
      </w:r>
    </w:p>
    <w:bookmarkEnd w:id="24"/>
    <w:bookmarkStart w:id="25" w:name="matters-requiring-pewa-decisions"/>
    <w:p>
      <w:pPr>
        <w:pStyle w:val="Heading1"/>
      </w:pPr>
      <w:r>
        <w:t xml:space="preserve">6. Matters requiring PEWA decisions</w:t>
      </w:r>
    </w:p>
    <w:tbl>
      <w:tblPr>
        <w:tblStyle w:val="Table"/>
        <w:tblW w:type="pct" w:w="5000"/>
        <w:tblLook w:firstRow="1" w:lastRow="0" w:firstColumn="0" w:lastColumn="0" w:noHBand="0" w:noVBand="0" w:val="0020"/>
        <w:jc w:val="start"/>
        <w:tblBorders>
          <w:top w:val="single" w:sz="4" w:color="B8C4CC"/>
          <w:left w:val="single" w:sz="4" w:color="B8C4CC"/>
          <w:bottom w:val="single" w:sz="4" w:color="B8C4CC"/>
          <w:right w:val="single" w:sz="4" w:color="B8C4CC"/>
          <w:insideH w:val="single" w:sz="4" w:color="B8C4CC"/>
          <w:insideV w:val="single" w:sz="4" w:color="B8C4CC"/>
        </w:tblBorders>
      </w:tblPr>
      <w:tblGrid>
        <w:gridCol w:w="1980"/>
        <w:gridCol w:w="1980"/>
        <w:gridCol w:w="1980"/>
        <w:gridCol w:w="1980"/>
      </w:tblGrid>
      <w:tr>
        <w:trPr>
          <w:tblHeader w:val="true"/>
        </w:trPr>
        <w:tc>
          <w:tcPr>
            <w:shd w:val="clear" w:fill="DCE8EF"/>
          </w:tcPr>
          <w:p>
            <w:pPr>
              <w:pStyle w:val="Compact"/>
              <w:jc w:val="left"/>
            </w:pPr>
            <w:r>
              <w:rPr>
                <w:sz w:val="17"/>
              </w:rPr>
              <w:t xml:space="preserve">ID</w:t>
            </w:r>
          </w:p>
        </w:tc>
        <w:tc>
          <w:tcPr>
            <w:shd w:val="clear" w:fill="DCE8EF"/>
          </w:tcPr>
          <w:p>
            <w:pPr>
              <w:pStyle w:val="Compact"/>
              <w:jc w:val="left"/>
            </w:pPr>
            <w:r>
              <w:rPr>
                <w:sz w:val="17"/>
              </w:rPr>
              <w:t xml:space="preserve">Decision</w:t>
            </w:r>
          </w:p>
        </w:tc>
        <w:tc>
          <w:tcPr>
            <w:shd w:val="clear" w:fill="DCE8EF"/>
          </w:tcPr>
          <w:p>
            <w:pPr>
              <w:pStyle w:val="Compact"/>
              <w:jc w:val="left"/>
            </w:pPr>
            <w:r>
              <w:rPr>
                <w:sz w:val="17"/>
              </w:rPr>
              <w:t xml:space="preserve">Options</w:t>
            </w:r>
          </w:p>
        </w:tc>
        <w:tc>
          <w:tcPr>
            <w:shd w:val="clear" w:fill="DCE8EF"/>
          </w:tcPr>
          <w:p>
            <w:pPr>
              <w:pStyle w:val="Compact"/>
              <w:jc w:val="left"/>
            </w:pPr>
            <w:r>
              <w:rPr>
                <w:sz w:val="17"/>
              </w:rPr>
              <w:t xml:space="preserve">Consultant view</w:t>
            </w:r>
          </w:p>
        </w:tc>
      </w:tr>
      <w:tr>
        <w:tc>
          <w:tcPr/>
          <w:p>
            <w:pPr>
              <w:pStyle w:val="Compact"/>
              <w:jc w:val="left"/>
            </w:pPr>
            <w:r>
              <w:rPr>
                <w:sz w:val="17"/>
              </w:rPr>
              <w:t xml:space="preserve">D-1</w:t>
            </w:r>
          </w:p>
        </w:tc>
        <w:tc>
          <w:tcPr/>
          <w:p>
            <w:pPr>
              <w:pStyle w:val="Compact"/>
              <w:jc w:val="left"/>
            </w:pPr>
            <w:r>
              <w:rPr>
                <w:sz w:val="17"/>
              </w:rPr>
              <w:t xml:space="preserve">Adopt the five-dimension model (category, role, occasion, cuisine, attributes)</w:t>
            </w:r>
          </w:p>
        </w:tc>
        <w:tc>
          <w:tcPr/>
          <w:p>
            <w:pPr>
              <w:pStyle w:val="Compact"/>
              <w:jc w:val="left"/>
            </w:pPr>
            <w:r>
              <w:rPr>
                <w:sz w:val="17"/>
              </w:rPr>
              <w:t xml:space="preserve">Adopt / adapt / reject</w:t>
            </w:r>
          </w:p>
        </w:tc>
        <w:tc>
          <w:tcPr/>
          <w:p>
            <w:pPr>
              <w:pStyle w:val="Compact"/>
              <w:jc w:val="left"/>
            </w:pPr>
            <w:r>
              <w:rPr>
                <w:sz w:val="17"/>
              </w:rPr>
              <w:t xml:space="preserve">Adopt</w:t>
            </w:r>
          </w:p>
        </w:tc>
      </w:tr>
      <w:tr>
        <w:tc>
          <w:tcPr/>
          <w:p>
            <w:pPr>
              <w:pStyle w:val="Compact"/>
              <w:jc w:val="left"/>
            </w:pPr>
            <w:r>
              <w:rPr>
                <w:sz w:val="17"/>
              </w:rPr>
              <w:t xml:space="preserve">D-2</w:t>
            </w:r>
          </w:p>
        </w:tc>
        <w:tc>
          <w:tcPr/>
          <w:p>
            <w:pPr>
              <w:pStyle w:val="Compact"/>
              <w:jc w:val="left"/>
            </w:pPr>
            <w:r>
              <w:rPr>
                <w:sz w:val="17"/>
              </w:rPr>
              <w:t xml:space="preserve">Primary + secondary categories per item</w:t>
            </w:r>
          </w:p>
        </w:tc>
        <w:tc>
          <w:tcPr/>
          <w:p>
            <w:pPr>
              <w:pStyle w:val="Compact"/>
              <w:jc w:val="left"/>
            </w:pPr>
            <w:r>
              <w:rPr>
                <w:sz w:val="17"/>
              </w:rPr>
              <w:t xml:space="preserve">Single category only / primary + up to N secondary</w:t>
            </w:r>
          </w:p>
        </w:tc>
        <w:tc>
          <w:tcPr/>
          <w:p>
            <w:pPr>
              <w:pStyle w:val="Compact"/>
              <w:jc w:val="left"/>
            </w:pPr>
            <w:r>
              <w:rPr>
                <w:sz w:val="17"/>
              </w:rPr>
              <w:t xml:space="preserve">Primary + up to 2 secondary</w:t>
            </w:r>
          </w:p>
        </w:tc>
      </w:tr>
      <w:tr>
        <w:tc>
          <w:tcPr/>
          <w:p>
            <w:pPr>
              <w:pStyle w:val="Compact"/>
              <w:jc w:val="left"/>
            </w:pPr>
            <w:r>
              <w:rPr>
                <w:sz w:val="17"/>
              </w:rPr>
              <w:t xml:space="preserve">D-3</w:t>
            </w:r>
          </w:p>
        </w:tc>
        <w:tc>
          <w:tcPr/>
          <w:p>
            <w:pPr>
              <w:pStyle w:val="Compact"/>
              <w:jc w:val="left"/>
            </w:pPr>
            <w:r>
              <w:rPr>
                <w:sz w:val="17"/>
              </w:rPr>
              <w:t xml:space="preserve">Fish &amp; Seafood: category or attribute only</w:t>
            </w:r>
          </w:p>
        </w:tc>
        <w:tc>
          <w:tcPr/>
          <w:p>
            <w:pPr>
              <w:pStyle w:val="Compact"/>
              <w:jc w:val="left"/>
            </w:pPr>
            <w:r>
              <w:rPr>
                <w:sz w:val="17"/>
              </w:rPr>
              <w:t xml:space="preserve">Keep F950 narrow / remove F950 / make seafood a full family</w:t>
            </w:r>
          </w:p>
        </w:tc>
        <w:tc>
          <w:tcPr/>
          <w:p>
            <w:pPr>
              <w:pStyle w:val="Compact"/>
              <w:jc w:val="left"/>
            </w:pPr>
            <w:r>
              <w:rPr>
                <w:sz w:val="17"/>
              </w:rPr>
              <w:t xml:space="preserve">Keep narrow</w:t>
            </w:r>
          </w:p>
        </w:tc>
      </w:tr>
      <w:tr>
        <w:tc>
          <w:tcPr/>
          <w:p>
            <w:pPr>
              <w:pStyle w:val="Compact"/>
              <w:jc w:val="left"/>
            </w:pPr>
            <w:r>
              <w:rPr>
                <w:sz w:val="17"/>
              </w:rPr>
              <w:t xml:space="preserve">D-4</w:t>
            </w:r>
          </w:p>
        </w:tc>
        <w:tc>
          <w:tcPr/>
          <w:p>
            <w:pPr>
              <w:pStyle w:val="Compact"/>
              <w:jc w:val="left"/>
            </w:pPr>
            <w:r>
              <w:rPr>
                <w:sz w:val="17"/>
              </w:rPr>
              <w:t xml:space="preserve">Merge the ugali/pap dish groups</w:t>
            </w:r>
          </w:p>
        </w:tc>
        <w:tc>
          <w:tcPr/>
          <w:p>
            <w:pPr>
              <w:pStyle w:val="Compact"/>
              <w:jc w:val="left"/>
            </w:pPr>
            <w:r>
              <w:rPr>
                <w:sz w:val="17"/>
              </w:rPr>
              <w:t xml:space="preserve">Merge / keep regional split</w:t>
            </w:r>
          </w:p>
        </w:tc>
        <w:tc>
          <w:tcPr/>
          <w:p>
            <w:pPr>
              <w:pStyle w:val="Compact"/>
              <w:jc w:val="left"/>
            </w:pPr>
            <w:r>
              <w:rPr>
                <w:sz w:val="17"/>
              </w:rPr>
              <w:t xml:space="preserve">Keep split, cross-link</w:t>
            </w:r>
          </w:p>
        </w:tc>
      </w:tr>
      <w:tr>
        <w:tc>
          <w:tcPr/>
          <w:p>
            <w:pPr>
              <w:pStyle w:val="Compact"/>
              <w:jc w:val="left"/>
            </w:pPr>
            <w:r>
              <w:rPr>
                <w:sz w:val="17"/>
              </w:rPr>
              <w:t xml:space="preserve">D-5</w:t>
            </w:r>
          </w:p>
        </w:tc>
        <w:tc>
          <w:tcPr/>
          <w:p>
            <w:pPr>
              <w:pStyle w:val="Compact"/>
              <w:jc w:val="left"/>
            </w:pPr>
            <w:r>
              <w:rPr>
                <w:sz w:val="17"/>
              </w:rPr>
              <w:t xml:space="preserve">Default allergen profile</w:t>
            </w:r>
          </w:p>
        </w:tc>
        <w:tc>
          <w:tcPr/>
          <w:p>
            <w:pPr>
              <w:pStyle w:val="Compact"/>
              <w:jc w:val="left"/>
            </w:pPr>
            <w:r>
              <w:rPr>
                <w:sz w:val="17"/>
              </w:rPr>
              <w:t xml:space="preserve">EU/UK-14 superset / per-country only / Codex</w:t>
            </w:r>
          </w:p>
        </w:tc>
        <w:tc>
          <w:tcPr/>
          <w:p>
            <w:pPr>
              <w:pStyle w:val="Compact"/>
              <w:jc w:val="left"/>
            </w:pPr>
            <w:r>
              <w:rPr>
                <w:sz w:val="17"/>
              </w:rPr>
              <w:t xml:space="preserve">EU/UK-14 superset plus per-country overlay</w:t>
            </w:r>
          </w:p>
        </w:tc>
      </w:tr>
      <w:tr>
        <w:tc>
          <w:tcPr/>
          <w:p>
            <w:pPr>
              <w:pStyle w:val="Compact"/>
              <w:jc w:val="left"/>
            </w:pPr>
            <w:r>
              <w:rPr>
                <w:sz w:val="17"/>
              </w:rPr>
              <w:t xml:space="preserve">D-6</w:t>
            </w:r>
          </w:p>
        </w:tc>
        <w:tc>
          <w:tcPr/>
          <w:p>
            <w:pPr>
              <w:pStyle w:val="Compact"/>
              <w:jc w:val="left"/>
            </w:pPr>
            <w:r>
              <w:rPr>
                <w:sz w:val="17"/>
              </w:rPr>
              <w:t xml:space="preserve">Attestation validity period for allergen data</w:t>
            </w:r>
          </w:p>
        </w:tc>
        <w:tc>
          <w:tcPr/>
          <w:p>
            <w:pPr>
              <w:pStyle w:val="Compact"/>
              <w:jc w:val="left"/>
            </w:pPr>
            <w:r>
              <w:rPr>
                <w:sz w:val="17"/>
              </w:rPr>
              <w:t xml:space="preserve">e.g. 6 / 12 months</w:t>
            </w:r>
          </w:p>
        </w:tc>
        <w:tc>
          <w:tcPr/>
          <w:p>
            <w:pPr>
              <w:pStyle w:val="Compact"/>
              <w:jc w:val="left"/>
            </w:pPr>
            <w:r>
              <w:rPr>
                <w:sz w:val="17"/>
              </w:rPr>
              <w:t xml:space="preserve">6 months, or on any recipe change</w:t>
            </w:r>
          </w:p>
        </w:tc>
      </w:tr>
      <w:tr>
        <w:tc>
          <w:tcPr/>
          <w:p>
            <w:pPr>
              <w:pStyle w:val="Compact"/>
              <w:jc w:val="left"/>
            </w:pPr>
            <w:r>
              <w:rPr>
                <w:sz w:val="17"/>
              </w:rPr>
              <w:t xml:space="preserve">D-7</w:t>
            </w:r>
          </w:p>
        </w:tc>
        <w:tc>
          <w:tcPr/>
          <w:p>
            <w:pPr>
              <w:pStyle w:val="Compact"/>
              <w:jc w:val="left"/>
            </w:pPr>
            <w:r>
              <w:rPr>
                <w:sz w:val="17"/>
              </w:rPr>
              <w:t xml:space="preserve">Halal evidence levels and recognised certifiers per country</w:t>
            </w:r>
          </w:p>
        </w:tc>
        <w:tc>
          <w:tcPr/>
          <w:p>
            <w:pPr>
              <w:pStyle w:val="Compact"/>
              <w:jc w:val="left"/>
            </w:pPr>
            <w:r>
              <w:rPr>
                <w:sz w:val="17"/>
              </w:rPr>
              <w:t xml:space="preserve">Certified only / certified + declared (labelled)</w:t>
            </w:r>
          </w:p>
        </w:tc>
        <w:tc>
          <w:tcPr/>
          <w:p>
            <w:pPr>
              <w:pStyle w:val="Compact"/>
              <w:jc w:val="left"/>
            </w:pPr>
            <w:r>
              <w:rPr>
                <w:sz w:val="17"/>
              </w:rPr>
              <w:t xml:space="preserve">Both, clearly labelled</w:t>
            </w:r>
          </w:p>
        </w:tc>
      </w:tr>
      <w:tr>
        <w:tc>
          <w:tcPr/>
          <w:p>
            <w:pPr>
              <w:pStyle w:val="Compact"/>
              <w:jc w:val="left"/>
            </w:pPr>
            <w:r>
              <w:rPr>
                <w:sz w:val="17"/>
              </w:rPr>
              <w:t xml:space="preserve">D-8</w:t>
            </w:r>
          </w:p>
        </w:tc>
        <w:tc>
          <w:tcPr/>
          <w:p>
            <w:pPr>
              <w:pStyle w:val="Compact"/>
              <w:jc w:val="left"/>
            </w:pPr>
            <w:r>
              <w:rPr>
                <w:sz w:val="17"/>
              </w:rPr>
              <w:t xml:space="preserve">Who may create categories</w:t>
            </w:r>
          </w:p>
        </w:tc>
        <w:tc>
          <w:tcPr/>
          <w:p>
            <w:pPr>
              <w:pStyle w:val="Compact"/>
              <w:jc w:val="left"/>
            </w:pPr>
            <w:r>
              <w:rPr>
                <w:sz w:val="17"/>
              </w:rPr>
              <w:t xml:space="preserve">PEWA only / tenants as private candidates with promotion</w:t>
            </w:r>
          </w:p>
        </w:tc>
        <w:tc>
          <w:tcPr/>
          <w:p>
            <w:pPr>
              <w:pStyle w:val="Compact"/>
              <w:jc w:val="left"/>
            </w:pPr>
            <w:r>
              <w:rPr>
                <w:sz w:val="17"/>
              </w:rPr>
              <w:t xml:space="preserve">Tenant candidates + promotion</w:t>
            </w:r>
          </w:p>
        </w:tc>
      </w:tr>
      <w:tr>
        <w:tc>
          <w:tcPr/>
          <w:p>
            <w:pPr>
              <w:pStyle w:val="Compact"/>
              <w:jc w:val="left"/>
            </w:pPr>
            <w:r>
              <w:rPr>
                <w:sz w:val="17"/>
              </w:rPr>
              <w:t xml:space="preserve">D-9</w:t>
            </w:r>
          </w:p>
        </w:tc>
        <w:tc>
          <w:tcPr/>
          <w:p>
            <w:pPr>
              <w:pStyle w:val="Compact"/>
              <w:jc w:val="left"/>
            </w:pPr>
            <w:r>
              <w:rPr>
                <w:sz w:val="17"/>
              </w:rPr>
              <w:t xml:space="preserve">Taxonomy ownership and review cadence</w:t>
            </w:r>
          </w:p>
        </w:tc>
        <w:tc>
          <w:tcPr/>
          <w:p>
            <w:pPr>
              <w:pStyle w:val="Compact"/>
              <w:jc w:val="left"/>
            </w:pPr>
            <w:r>
              <w:rPr>
                <w:sz w:val="17"/>
              </w:rPr>
              <w:t xml:space="preserve">—</w:t>
            </w:r>
          </w:p>
        </w:tc>
        <w:tc>
          <w:tcPr/>
          <w:p>
            <w:pPr>
              <w:pStyle w:val="Compact"/>
              <w:jc w:val="left"/>
            </w:pPr>
            <w:r>
              <w:rPr>
                <w:sz w:val="17"/>
              </w:rPr>
              <w:t xml:space="preserve">Named owner; quarterly; regional reviewers</w:t>
            </w:r>
          </w:p>
        </w:tc>
      </w:tr>
      <w:tr>
        <w:tc>
          <w:tcPr/>
          <w:p>
            <w:pPr>
              <w:pStyle w:val="Compact"/>
              <w:jc w:val="left"/>
            </w:pPr>
            <w:r>
              <w:rPr>
                <w:sz w:val="17"/>
              </w:rPr>
              <w:t xml:space="preserve">D-10</w:t>
            </w:r>
          </w:p>
        </w:tc>
        <w:tc>
          <w:tcPr/>
          <w:p>
            <w:pPr>
              <w:pStyle w:val="Compact"/>
              <w:jc w:val="left"/>
            </w:pPr>
            <w:r>
              <w:rPr>
                <w:sz w:val="17"/>
              </w:rPr>
              <w:t xml:space="preserve">Which languages are first-class for synonyms at launch</w:t>
            </w:r>
          </w:p>
        </w:tc>
        <w:tc>
          <w:tcPr/>
          <w:p>
            <w:pPr>
              <w:pStyle w:val="Compact"/>
              <w:jc w:val="left"/>
            </w:pPr>
            <w:r>
              <w:rPr>
                <w:sz w:val="17"/>
              </w:rPr>
              <w:t xml:space="preserve">—</w:t>
            </w:r>
          </w:p>
        </w:tc>
        <w:tc>
          <w:tcPr/>
          <w:p>
            <w:pPr>
              <w:pStyle w:val="Compact"/>
              <w:jc w:val="left"/>
            </w:pPr>
            <w:r>
              <w:rPr>
                <w:sz w:val="17"/>
              </w:rPr>
              <w:t xml:space="preserve">EN, FR, SW, RW, RN; then LG, LN, AM</w:t>
            </w:r>
          </w:p>
        </w:tc>
      </w:tr>
      <w:tr>
        <w:tc>
          <w:tcPr/>
          <w:p>
            <w:pPr>
              <w:pStyle w:val="Compact"/>
              <w:jc w:val="left"/>
            </w:pPr>
            <w:r>
              <w:rPr>
                <w:sz w:val="17"/>
              </w:rPr>
              <w:t xml:space="preserve">D-11</w:t>
            </w:r>
          </w:p>
        </w:tc>
        <w:tc>
          <w:tcPr/>
          <w:p>
            <w:pPr>
              <w:pStyle w:val="Compact"/>
              <w:jc w:val="left"/>
            </w:pPr>
            <w:r>
              <w:rPr>
                <w:sz w:val="17"/>
              </w:rPr>
              <w:t xml:space="preserve">Whether</w:t>
            </w:r>
            <w:r>
              <w:rPr>
                <w:sz w:val="17"/>
              </w:rPr>
              <w:t xml:space="preserve"> </w:t>
            </w:r>
            <w:r>
              <w:rPr>
                <w:sz w:val="17"/>
              </w:rPr>
              <w:t xml:space="preserve">“</w:t>
            </w:r>
            <w:r>
              <w:rPr>
                <w:sz w:val="17"/>
              </w:rPr>
              <w:t xml:space="preserve">Iced &amp; Blended</w:t>
            </w:r>
            <w:r>
              <w:rPr>
                <w:sz w:val="17"/>
              </w:rPr>
              <w:t xml:space="preserve">”</w:t>
            </w:r>
            <w:r>
              <w:rPr>
                <w:sz w:val="17"/>
              </w:rPr>
              <w:t xml:space="preserve"> </w:t>
            </w:r>
            <w:r>
              <w:rPr>
                <w:sz w:val="17"/>
              </w:rPr>
              <w:t xml:space="preserve">(B220) and</w:t>
            </w:r>
            <w:r>
              <w:rPr>
                <w:sz w:val="17"/>
              </w:rPr>
              <w:t xml:space="preserve"> </w:t>
            </w:r>
            <w:r>
              <w:rPr>
                <w:sz w:val="17"/>
              </w:rPr>
              <w:t xml:space="preserve">“</w:t>
            </w:r>
            <w:r>
              <w:rPr>
                <w:sz w:val="17"/>
              </w:rPr>
              <w:t xml:space="preserve">Breakfast-Format Dishes</w:t>
            </w:r>
            <w:r>
              <w:rPr>
                <w:sz w:val="17"/>
              </w:rPr>
              <w:t xml:space="preserve">”</w:t>
            </w:r>
            <w:r>
              <w:rPr>
                <w:sz w:val="17"/>
              </w:rPr>
              <w:t xml:space="preserve"> </w:t>
            </w:r>
            <w:r>
              <w:rPr>
                <w:sz w:val="17"/>
              </w:rPr>
              <w:t xml:space="preserve">(F050) stay in the library</w:t>
            </w:r>
          </w:p>
        </w:tc>
        <w:tc>
          <w:tcPr/>
          <w:p>
            <w:pPr>
              <w:pStyle w:val="Compact"/>
              <w:jc w:val="left"/>
            </w:pPr>
            <w:r>
              <w:rPr>
                <w:sz w:val="17"/>
              </w:rPr>
              <w:t xml:space="preserve">Keep Optional / remove</w:t>
            </w:r>
          </w:p>
        </w:tc>
        <w:tc>
          <w:tcPr/>
          <w:p>
            <w:pPr>
              <w:pStyle w:val="Compact"/>
              <w:jc w:val="left"/>
            </w:pPr>
            <w:r>
              <w:rPr>
                <w:sz w:val="17"/>
              </w:rPr>
              <w:t xml:space="preserve">Keep, Optional</w:t>
            </w:r>
          </w:p>
        </w:tc>
      </w:tr>
      <w:tr>
        <w:tc>
          <w:tcPr/>
          <w:p>
            <w:pPr>
              <w:pStyle w:val="Compact"/>
              <w:jc w:val="left"/>
            </w:pPr>
            <w:r>
              <w:rPr>
                <w:sz w:val="17"/>
              </w:rPr>
              <w:t xml:space="preserve">D-12</w:t>
            </w:r>
          </w:p>
        </w:tc>
        <w:tc>
          <w:tcPr/>
          <w:p>
            <w:pPr>
              <w:pStyle w:val="Compact"/>
              <w:jc w:val="left"/>
            </w:pPr>
            <w:r>
              <w:rPr>
                <w:sz w:val="17"/>
              </w:rPr>
              <w:t xml:space="preserve">Price-band computation method and display</w:t>
            </w:r>
          </w:p>
        </w:tc>
        <w:tc>
          <w:tcPr/>
          <w:p>
            <w:pPr>
              <w:pStyle w:val="Compact"/>
              <w:jc w:val="left"/>
            </w:pPr>
            <w:r>
              <w:rPr>
                <w:sz w:val="17"/>
              </w:rPr>
              <w:t xml:space="preserve">—</w:t>
            </w:r>
          </w:p>
        </w:tc>
        <w:tc>
          <w:tcPr/>
          <w:p>
            <w:pPr>
              <w:pStyle w:val="Compact"/>
              <w:jc w:val="left"/>
            </w:pPr>
            <w:r>
              <w:rPr>
                <w:sz w:val="17"/>
              </w:rPr>
              <w:t xml:space="preserve">Per city, per category, labelled as computed</w:t>
            </w:r>
          </w:p>
        </w:tc>
      </w:tr>
      <w:tr>
        <w:tc>
          <w:tcPr/>
          <w:p>
            <w:pPr>
              <w:pStyle w:val="Compact"/>
              <w:jc w:val="left"/>
            </w:pPr>
            <w:r>
              <w:rPr>
                <w:sz w:val="17"/>
              </w:rPr>
              <w:t xml:space="preserve">D-13</w:t>
            </w:r>
          </w:p>
        </w:tc>
        <w:tc>
          <w:tcPr/>
          <w:p>
            <w:pPr>
              <w:pStyle w:val="Compact"/>
              <w:jc w:val="left"/>
            </w:pPr>
            <w:r>
              <w:rPr>
                <w:sz w:val="17"/>
              </w:rPr>
              <w:t xml:space="preserve">Commission a field study (Burundi and Rwanda menus) before finalising Regional entries</w:t>
            </w:r>
          </w:p>
        </w:tc>
        <w:tc>
          <w:tcPr/>
          <w:p>
            <w:pPr>
              <w:pStyle w:val="Compact"/>
              <w:jc w:val="left"/>
            </w:pPr>
            <w:r>
              <w:rPr>
                <w:sz w:val="17"/>
              </w:rPr>
              <w:t xml:space="preserve">Yes / no</w:t>
            </w:r>
          </w:p>
        </w:tc>
        <w:tc>
          <w:tcPr/>
          <w:p>
            <w:pPr>
              <w:pStyle w:val="Compact"/>
              <w:jc w:val="left"/>
            </w:pPr>
            <w:r>
              <w:rPr>
                <w:sz w:val="17"/>
              </w:rPr>
              <w:t xml:space="preserve">Yes</w:t>
            </w:r>
          </w:p>
        </w:tc>
      </w:tr>
    </w:tbl>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0"/>
    </w:rPr>
  </w:style>
  <w:style w:styleId="BodyText" w:type="paragraph">
    <w:name w:val="Body Text"/>
    <w:basedOn w:val="Normal"/>
    <w:link w:val="BodyTextChar"/>
    <w:pPr>
      <w:spacing w:after="180" w:before="180"/>
    </w:pPr>
    <w:qFormat/>
    <w:rPr>
      <w:rFonts w:ascii="Arial" w:hAnsi="Arial"/>
    </w:rPr>
  </w:style>
  <w:style w:customStyle="1" w:styleId="FirstParagraph" w:type="paragraph">
    <w:name w:val="First Paragraph"/>
    <w:basedOn w:val="BodyText"/>
    <w:next w:val="BodyText"/>
    <w:qFormat/>
    <w:rPr>
      <w:rFonts w:ascii="Arial" w:hAnsi="Arial"/>
    </w:rPr>
  </w:style>
  <w:style w:customStyle="1" w:styleId="Compact" w:type="paragraph">
    <w:name w:val="Compact"/>
    <w:basedOn w:val="BodyText"/>
    <w:qFormat/>
    <w:pPr>
      <w:spacing w:after="36" w:before="36"/>
    </w:pPr>
    <w:rPr>
      <w:rFonts w:ascii="Arial" w:hAnsi="Arial"/>
    </w:rPr>
  </w:style>
  <w:style w:styleId="Title" w:type="paragraph">
    <w:name w:val="Title"/>
    <w:basedOn w:val="Normal"/>
    <w:next w:val="BodyText"/>
    <w:qFormat/>
    <w:pPr>
      <w:keepNext/>
      <w:keepLines/>
      <w:spacing w:after="240" w:before="480"/>
      <w:jc w:val="center"/>
    </w:pPr>
    <w:rPr>
      <w:rFonts w:ascii="Arial" w:asciiTheme="majorHAnsi" w:cstheme="majorBidi" w:eastAsiaTheme="majorEastAsia" w:hAnsi="Arial" w:hAnsiTheme="majorHAnsi"/>
      <w:b/>
      <w:bCs/>
      <w:color w:val="1F3A4D"/>
      <w:sz w:val="44"/>
      <w:szCs w:val="36"/>
    </w:rPr>
  </w:style>
  <w:style w:styleId="Subtitle" w:type="paragraph">
    <w:name w:val="Subtitle"/>
    <w:basedOn w:val="Title"/>
    <w:next w:val="BodyText"/>
    <w:qFormat/>
    <w:pPr>
      <w:keepNext/>
      <w:keepLines/>
      <w:spacing w:after="240" w:before="240"/>
      <w:jc w:val="center"/>
    </w:pPr>
    <w:rPr>
      <w:rFonts w:ascii="Arial" w:hAnsi="Arial"/>
      <w:sz w:val="30"/>
      <w:szCs w:val="30"/>
    </w:rPr>
  </w:style>
  <w:style w:customStyle="1" w:styleId="Author" w:type="paragraph">
    <w:name w:val="Author"/>
    <w:next w:val="BodyText"/>
    <w:qFormat/>
    <w:pPr>
      <w:keepNext/>
      <w:keepLines/>
      <w:jc w:val="center"/>
    </w:pPr>
    <w:rPr>
      <w:rFonts w:ascii="Arial" w:hAnsi="Arial"/>
    </w:rPr>
  </w:style>
  <w:style w:styleId="Date" w:type="paragraph">
    <w:name w:val="Date"/>
    <w:next w:val="BodyText"/>
    <w:qFormat/>
    <w:pPr>
      <w:keepNext/>
      <w:keepLines/>
      <w:jc w:val="center"/>
    </w:pPr>
    <w:rPr>
      <w:rFonts w:ascii="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b/>
      <w:color w:val="345A8A"/>
      &gt;
    </w:rPr>
  </w:style>
  <w:style w:customStyle="1" w:styleId="Abstract" w:type="paragraph">
    <w:name w:val="Abstract"/>
    <w:basedOn w:val="Normal"/>
    <w:next w:val="BodyText"/>
    <w:qFormat/>
    <w:pPr>
      <w:keepNext/>
      <w:keepLines/>
      <w:spacing w:after="300" w:before="100"/>
    </w:pPr>
    <w:rPr>
      <w:rFonts w:ascii="Arial" w:hAnsi="Arial"/>
      <w:sz w:val="20"/>
      <w:szCs w:val="20"/>
    </w:rPr>
  </w:style>
  <w:style w:styleId="Bibliography" w:type="paragraph">
    <w:name w:val="Bibliography"/>
    <w:basedOn w:val="Normal"/>
    <w:next w:val="Bibliography"/>
    <w:qFormat/>
    <w:pPr/>
    <w:rPr>
      <w:rFonts w:ascii="Arial" w:hAnsi="Arial"/>
    </w:rPr>
  </w:style>
  <w:style w:styleId="Heading1" w:type="paragraph">
    <w:name w:val="Heading 1"/>
    <w:basedOn w:val="Normal"/>
    <w:next w:val="BodyText"/>
    <w:uiPriority w:val="9"/>
    <w:qFormat/>
    <w:pPr>
      <w:keepNext/>
      <w:keepLines/>
      <w:spacing w:after="0" w:before="480"/>
      <w:outlineLvl w:val="0"/>
    </w:pPr>
    <w:rPr>
      <w:rFonts w:ascii="Arial" w:asciiTheme="majorHAnsi" w:cstheme="majorBidi" w:eastAsiaTheme="majorEastAsia" w:hAnsi="Arial"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asciiTheme="majorHAnsi" w:cstheme="majorBidi" w:eastAsiaTheme="majorEastAsia" w:hAnsi="Arial"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asciiTheme="majorHAnsi" w:cstheme="majorBidi" w:eastAsiaTheme="majorEastAsia" w:hAnsi="Arial"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asciiTheme="majorHAnsi" w:cstheme="majorBidi" w:eastAsiaTheme="majorEastAsia" w:hAnsi="Arial"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asciiTheme="majorHAnsi" w:cstheme="majorBidi" w:eastAsiaTheme="majorEastAsia" w:hAnsi="Arial"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asciiTheme="majorHAnsi" w:cstheme="majorBidi" w:eastAsiaTheme="majorEastAsia" w:hAnsi="Arial"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asciiTheme="majorHAnsi" w:cstheme="majorBidi" w:eastAsiaTheme="majorEastAsia" w:hAnsi="Arial"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asciiTheme="majorHAnsi" w:cstheme="majorBidi" w:eastAsiaTheme="majorEastAsia" w:hAnsi="Arial"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asciiTheme="majorHAnsi" w:cstheme="majorBidi" w:eastAsiaTheme="majorEastAsia" w:hAnsi="Arial"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rPr>
  </w:style>
  <w:style w:styleId="FootnoteText" w:type="paragraph">
    <w:name w:val="Footnote Text"/>
    <w:basedOn w:val="Normal"/>
    <w:next w:val="FootnoteText"/>
    <w:uiPriority w:val="9"/>
    <w:unhideWhenUsed/>
    <w:qFormat/>
    <w:rPr>
      <w:rFonts w:ascii="Arial" w:hAnsi="Arial"/>
    </w:rPr>
  </w:style>
  <w:style w:default="1" w:styleId="DefaultParagraphFont" w:type="character">
    <w:name w:val="Default Paragraph Font"/>
    <w:semiHidden/>
    <w:unhideWhenUsed/>
    <w:rPr>
      <w:rFonts w:ascii="Arial" w:hAnsi="Arial"/>
    </w:rPr>
  </w:style>
  <w:style w:default="1" w:styleId="Table" w:type="table">
    <w:name w:val="Table"/>
    <w:basedOn w:val="TableNormal"/>
    <w:semiHidden/>
    <w:unhideWhenUsed/>
    <w:qFormat/>
    <w:rPr>
      <w:rFonts w:ascii="Arial" w:hAnsi="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b/>
    </w:rPr>
  </w:style>
  <w:style w:customStyle="1" w:styleId="Definition" w:type="paragraph">
    <w:name w:val="Definition"/>
    <w:basedOn w:val="Normal"/>
    <w:rPr>
      <w:rFonts w:ascii="Arial" w:hAnsi="Arial"/>
    </w:rPr>
  </w:style>
  <w:style w:styleId="Caption" w:type="paragraph">
    <w:name w:val="Caption"/>
    <w:basedOn w:val="Normal"/>
    <w:link w:val="BodyTextChar"/>
    <w:pPr>
      <w:spacing w:after="120" w:before="0"/>
    </w:pPr>
    <w:rPr>
      <w:rFonts w:ascii="Arial" w:hAnsi="Arial"/>
      <w:i/>
    </w:rPr>
  </w:style>
  <w:style w:customStyle="1" w:styleId="TableCaption" w:type="paragraph">
    <w:name w:val="Table Caption"/>
    <w:basedOn w:val="Caption"/>
    <w:pPr>
      <w:keepNext/>
    </w:pPr>
    <w:rPr>
      <w:rFonts w:ascii="Arial" w:hAnsi="Arial"/>
    </w:rPr>
  </w:style>
  <w:style w:customStyle="1" w:styleId="ImageCaption" w:type="paragraph">
    <w:name w:val="Image Caption"/>
    <w:basedOn w:val="Caption"/>
    <w:rPr>
      <w:rFonts w:ascii="Arial" w:hAnsi="Arial"/>
    </w:rPr>
  </w:style>
  <w:style w:customStyle="1" w:styleId="Figure" w:type="paragraph">
    <w:name w:val="Figure"/>
    <w:basedOn w:val="Normal"/>
    <w:rPr>
      <w:rFonts w:ascii="Arial" w:hAnsi="Arial"/>
    </w:rPr>
  </w:style>
  <w:style w:customStyle="1" w:styleId="CaptionedFigure" w:type="paragraph">
    <w:name w:val="Captioned Figure"/>
    <w:basedOn w:val="Figure"/>
    <w:pPr>
      <w:keepNext/>
    </w:pPr>
    <w:rPr>
      <w:rFonts w:ascii="Arial" w:hAnsi="Arial"/>
    </w:rPr>
  </w:style>
  <w:style w:customStyle="1" w:styleId="BodyTextChar" w:type="character">
    <w:name w:val="Body Text Char"/>
    <w:basedOn w:val="DefaultParagraphFont"/>
    <w:link w:val="BodyText"/>
    <w:rPr>
      <w:rFonts w:ascii="Arial" w:hAnsi="Arial"/>
    </w:rPr>
  </w:style>
  <w:style w:customStyle="1" w:styleId="VerbatimChar" w:type="character">
    <w:name w:val="Verbatim Char"/>
    <w:basedOn w:val="BodyTextChar"/>
    <w:rPr>
      <w:rFonts w:ascii="Arial" w:hAnsi="Arial"/>
      <w:sz w:val="22"/>
    </w:rPr>
  </w:style>
  <w:style w:customStyle="1" w:styleId="SectionNumber" w:type="character">
    <w:name w:val="Section Number"/>
    <w:basedOn w:val="BodyTextChar"/>
    <w:rPr>
      <w:rFonts w:ascii="Arial" w:hAnsi="Arial"/>
    </w:rPr>
  </w:style>
  <w:style w:styleId="FootnoteReference" w:type="character">
    <w:name w:val="Footnote Reference"/>
    <w:basedOn w:val="BodyTextChar"/>
    <w:rPr>
      <w:rFonts w:ascii="Arial" w:hAnsi="Arial"/>
      <w:vertAlign w:val="superscript"/>
    </w:rPr>
  </w:style>
  <w:style w:styleId="Hyperlink" w:type="character">
    <w:name w:val="Hyperlink"/>
    <w:basedOn w:val="BodyTextChar"/>
    <w:rPr>
      <w:rFonts w:ascii="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asciiTheme="majorHAnsi" w:cstheme="majorBidi" w:eastAsiaTheme="majorEastAsia" w:hAnsi="Arial"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PEWA-F02-R01 — Deliverable 5: Reconciliation &amp; Gap Report</dc:title>
  <dc:creator/>
  <cp:keywords/>
  <dcterms:created xsi:type="dcterms:W3CDTF">2026-10-15T08:31:37Z</dcterms:created>
  <dcterms:modified xsi:type="dcterms:W3CDTF">2026-10-15T08:31:37Z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15 October 2026</vt:lpwstr>
  </property>
</Properties>
</file>