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48"/>
        </w:rPr>
        <w:t>BankPro Financial Services</w:t>
      </w:r>
    </w:p>
    <w:p>
      <w:pPr>
        <w:spacing w:after="240"/>
      </w:pPr>
      <w:r>
        <w:rPr>
          <w:rFonts w:ascii="Arial" w:hAnsi="Arial"/>
          <w:color w:val="4A5568"/>
          <w:sz w:val="26"/>
        </w:rPr>
        <w:t>SAS Analytics Case Study &amp; Pipeline Documentation</w:t>
      </w:r>
    </w:p>
    <w:p>
      <w:pPr>
        <w:spacing w:after="480"/>
      </w:pPr>
      <w:r>
        <w:rPr>
          <w:rFonts w:ascii="Arial" w:hAnsi="Arial"/>
          <w:i/>
          <w:color w:val="718096"/>
          <w:sz w:val="18"/>
        </w:rPr>
        <w:t>Role: Junior SAS Analyst   |   Environment: SAS OnDemand for Academics   |   Target Library: FINANCE</w:t>
      </w:r>
    </w:p>
    <w:p>
      <w:pPr>
        <w:keepNext/>
        <w:spacing w:before="360" w:after="120"/>
        <w:pBdr>
          <w:bottom w:val="single" w:sz="12" w:space="4" w:color="2B6CB0"/>
        </w:pBdr>
      </w:pPr>
      <w:r>
        <w:rPr>
          <w:rFonts w:ascii="Arial" w:hAnsi="Arial"/>
          <w:b/>
          <w:color w:val="1A365D"/>
          <w:sz w:val="28"/>
        </w:rPr>
        <w:t>1. Project Overview &amp; Problem Statement</w:t>
      </w:r>
    </w:p>
    <w:p>
      <w:pPr>
        <w:spacing w:after="160" w:line="276" w:lineRule="auto"/>
      </w:pPr>
      <w:r>
        <w:rPr>
          <w:rFonts w:ascii="Arial" w:hAnsi="Arial"/>
          <w:color w:val="2D3748"/>
          <w:sz w:val="21"/>
        </w:rPr>
        <w:t>In modern retail banking, customer registries, core transaction records, and historical balance statements frequently sit isolated across siloed production systems. Without a unified corporate data warehouse model, financial institutions like BankPro face critical operational friction:</w:t>
      </w:r>
    </w:p>
    <w:p>
      <w:pPr>
        <w:pStyle w:val="ListBullet"/>
        <w:spacing w:after="80" w:line="276" w:lineRule="auto"/>
      </w:pPr>
      <w:r>
        <w:rPr>
          <w:rFonts w:ascii="Arial" w:hAnsi="Arial"/>
          <w:b/>
          <w:sz w:val="21"/>
        </w:rPr>
        <w:t xml:space="preserve">Inability to Mitigate Credit Risk: </w:t>
      </w:r>
      <w:r>
        <w:rPr>
          <w:rFonts w:ascii="Arial" w:hAnsi="Arial"/>
          <w:color w:val="2D3748"/>
          <w:sz w:val="21"/>
        </w:rPr>
        <w:t>Risk management teams cannot actively monitor overdrawn accounts or trace immediate systemic impacts across lines of business.</w:t>
      </w:r>
    </w:p>
    <w:p>
      <w:pPr>
        <w:pStyle w:val="ListBullet"/>
        <w:spacing w:after="80" w:line="276" w:lineRule="auto"/>
      </w:pPr>
      <w:r>
        <w:rPr>
          <w:rFonts w:ascii="Arial" w:hAnsi="Arial"/>
          <w:b/>
          <w:sz w:val="21"/>
        </w:rPr>
        <w:t xml:space="preserve">Absence of Value Segmentation: </w:t>
      </w:r>
      <w:r>
        <w:rPr>
          <w:rFonts w:ascii="Arial" w:hAnsi="Arial"/>
          <w:color w:val="2D3748"/>
          <w:sz w:val="21"/>
        </w:rPr>
        <w:t>High-net-worth clients receive standardized, entry-level communication tiers due to the lack of automated asset aggregation.</w:t>
      </w:r>
    </w:p>
    <w:p>
      <w:pPr>
        <w:pStyle w:val="ListBullet"/>
        <w:spacing w:after="80" w:line="276" w:lineRule="auto"/>
      </w:pPr>
      <w:r>
        <w:rPr>
          <w:rFonts w:ascii="Arial" w:hAnsi="Arial"/>
          <w:b/>
          <w:sz w:val="21"/>
        </w:rPr>
        <w:t xml:space="preserve">Static Balance Forecasting: </w:t>
      </w:r>
      <w:r>
        <w:rPr>
          <w:rFonts w:ascii="Arial" w:hAnsi="Arial"/>
          <w:color w:val="2D3748"/>
          <w:sz w:val="21"/>
        </w:rPr>
        <w:t>Executive committees lack automated engines to project portfolio asset growth based on individualized compound interest schedules or transaction velocity trends.</w:t>
      </w:r>
    </w:p>
    <w:p>
      <w:pPr>
        <w:spacing w:after="160" w:line="276" w:lineRule="auto"/>
      </w:pPr>
      <w:r>
        <w:rPr>
          <w:rFonts w:ascii="Arial" w:hAnsi="Arial"/>
          <w:b/>
          <w:color w:val="2D3748"/>
          <w:sz w:val="21"/>
        </w:rPr>
        <w:t xml:space="preserve">The Solution: </w:t>
      </w:r>
      <w:r>
        <w:rPr>
          <w:rFonts w:ascii="Arial" w:hAnsi="Arial"/>
          <w:color w:val="2D3748"/>
          <w:sz w:val="21"/>
        </w:rPr>
        <w:t>This project implements a comprehensive, audit-ready SAS data pipeline that programmatically ingests, cleanses, standardizes, models, and exports multi-layered operational financial data. The final output provides automated Business Intelligence deliverables (Executive PDFs and structured management Excel sheets) to empower empirical decision-making.</w:t>
      </w:r>
    </w:p>
    <w:p>
      <w:pPr>
        <w:keepNext/>
        <w:spacing w:before="360" w:after="120"/>
        <w:pBdr>
          <w:bottom w:val="single" w:sz="12" w:space="4" w:color="2B6CB0"/>
        </w:pBdr>
      </w:pPr>
      <w:r>
        <w:rPr>
          <w:rFonts w:ascii="Arial" w:hAnsi="Arial"/>
          <w:b/>
          <w:color w:val="1A365D"/>
          <w:sz w:val="28"/>
        </w:rPr>
        <w:t>2. Pre-Analysis Analytical Strategy</w:t>
      </w:r>
    </w:p>
    <w:p>
      <w:pPr>
        <w:spacing w:after="160" w:line="276" w:lineRule="auto"/>
      </w:pPr>
      <w:r>
        <w:rPr>
          <w:rFonts w:ascii="Arial" w:hAnsi="Arial"/>
          <w:color w:val="2D3748"/>
          <w:sz w:val="21"/>
        </w:rPr>
        <w:t>Prior to writing the programmatic script, the technical architecture was driven by a series of precise analytical checkpoints:</w:t>
      </w:r>
    </w:p>
    <w:p>
      <w:pPr>
        <w:pStyle w:val="ListBullet"/>
        <w:spacing w:after="80" w:line="276" w:lineRule="auto"/>
      </w:pPr>
      <w:r>
        <w:rPr>
          <w:rFonts w:ascii="Arial" w:hAnsi="Arial"/>
          <w:b/>
          <w:sz w:val="21"/>
        </w:rPr>
        <w:t xml:space="preserve">1. Data Cleanliness &amp; Type Integrity: </w:t>
      </w:r>
      <w:r>
        <w:rPr>
          <w:rFonts w:ascii="Arial" w:hAnsi="Arial"/>
          <w:color w:val="2D3748"/>
          <w:sz w:val="21"/>
        </w:rPr>
        <w:t>Are dates consistently imported across system lines? If imported as text, how do we systematically convert them into structured SAS numeric dates using valid informats?</w:t>
      </w:r>
    </w:p>
    <w:p>
      <w:pPr>
        <w:pStyle w:val="ListBullet"/>
        <w:spacing w:after="80" w:line="276" w:lineRule="auto"/>
      </w:pPr>
      <w:r>
        <w:rPr>
          <w:rFonts w:ascii="Arial" w:hAnsi="Arial"/>
          <w:b/>
          <w:sz w:val="21"/>
        </w:rPr>
        <w:t xml:space="preserve">2. Dynamic Client Tiering: </w:t>
      </w:r>
      <w:r>
        <w:rPr>
          <w:rFonts w:ascii="Arial" w:hAnsi="Arial"/>
          <w:color w:val="2D3748"/>
          <w:sz w:val="21"/>
        </w:rPr>
        <w:t>What financial balance metrics dynamically isolate high-value market share (e.g., distinguishing "Platinum" vs. "Bronze" assets), and how can custom business-ready formats be structurally integrated without duplicating core variables?</w:t>
      </w:r>
    </w:p>
    <w:p>
      <w:pPr>
        <w:pStyle w:val="ListBullet"/>
        <w:spacing w:after="80" w:line="276" w:lineRule="auto"/>
      </w:pPr>
      <w:r>
        <w:rPr>
          <w:rFonts w:ascii="Arial" w:hAnsi="Arial"/>
          <w:b/>
          <w:sz w:val="21"/>
        </w:rPr>
        <w:t xml:space="preserve">3. Temporal Transaction Velocities: </w:t>
      </w:r>
      <w:r>
        <w:rPr>
          <w:rFonts w:ascii="Arial" w:hAnsi="Arial"/>
          <w:color w:val="2D3748"/>
          <w:sz w:val="21"/>
        </w:rPr>
        <w:t>How can the operational gap between sequential consumer transactions be derived to track account engagement or detect early signs of dormancy?</w:t>
      </w:r>
    </w:p>
    <w:p>
      <w:pPr>
        <w:pStyle w:val="ListBullet"/>
        <w:spacing w:after="80" w:line="276" w:lineRule="auto"/>
      </w:pPr>
      <w:r>
        <w:rPr>
          <w:rFonts w:ascii="Arial" w:hAnsi="Arial"/>
          <w:b/>
          <w:sz w:val="21"/>
        </w:rPr>
        <w:t xml:space="preserve">4. Algorithmic Forecast Projections: </w:t>
      </w:r>
      <w:r>
        <w:rPr>
          <w:rFonts w:ascii="Arial" w:hAnsi="Arial"/>
          <w:color w:val="2D3748"/>
          <w:sz w:val="21"/>
        </w:rPr>
        <w:t>How will the current deposit portfolio scale over a 12-month horizon assuming an explicit compound interest structure and static economic bounds?</w:t>
      </w:r>
    </w:p>
    <w:p>
      <w:pPr>
        <w:keepNext/>
        <w:spacing w:before="360" w:after="120"/>
        <w:pBdr>
          <w:bottom w:val="single" w:sz="12" w:space="4" w:color="2B6CB0"/>
        </w:pBdr>
      </w:pPr>
      <w:r>
        <w:rPr>
          <w:rFonts w:ascii="Arial" w:hAnsi="Arial"/>
          <w:b/>
          <w:color w:val="1A365D"/>
          <w:sz w:val="28"/>
        </w:rPr>
        <w:t>3. Phase-by-Phase Technical Blueprint</w:t>
      </w:r>
    </w:p>
    <w:p>
      <w:pPr>
        <w:keepNext/>
        <w:spacing w:before="360" w:after="120"/>
      </w:pPr>
      <w:r>
        <w:rPr>
          <w:rFonts w:ascii="Arial" w:hAnsi="Arial"/>
          <w:b/>
          <w:color w:val="2B6CB0"/>
          <w:sz w:val="24"/>
        </w:rPr>
        <w:t>Phases 1 &amp; 2: Environment Setup &amp; High-Fidelity Data Ingestion</w:t>
      </w:r>
    </w:p>
    <w:p>
      <w:pPr>
        <w:spacing w:after="160" w:line="276" w:lineRule="auto"/>
      </w:pPr>
      <w:r>
        <w:rPr>
          <w:rFonts w:ascii="Arial" w:hAnsi="Arial"/>
          <w:color w:val="2D3748"/>
          <w:sz w:val="21"/>
        </w:rPr>
        <w:t>A permanent physical library path was bound to the SAS token FINANCE. Raw multi-sheet ledgers within the Excel staging zone were ingested utilizing PROC IMPORT. To establish exact type conformity, unstructured character strings were recast using the INPUT function alongside the yymmdd10. informat, establishing uniform mathematical date boundaries.</w:t>
      </w:r>
    </w:p>
    <w:p>
      <w:pPr>
        <w:keepNext/>
        <w:spacing w:before="360" w:after="120"/>
      </w:pPr>
      <w:r>
        <w:rPr>
          <w:rFonts w:ascii="Arial" w:hAnsi="Arial"/>
          <w:b/>
          <w:color w:val="2B6CB0"/>
          <w:sz w:val="24"/>
        </w:rPr>
        <w:t>Phases 3 &amp; 4: Data Cleansing, Metadata Management, and Custom Formatting</w:t>
      </w:r>
    </w:p>
    <w:p>
      <w:pPr>
        <w:spacing w:after="160" w:line="276" w:lineRule="auto"/>
      </w:pPr>
      <w:r>
        <w:rPr>
          <w:rFonts w:ascii="Arial" w:hAnsi="Arial"/>
          <w:color w:val="2D3748"/>
          <w:sz w:val="21"/>
        </w:rPr>
        <w:t>Account records were systematically evaluated for exposure, identifying values below zero and marking accounts with distinct flags (e.g., Overdrawn, Active). Client tiers were mapped directly from the cumulative account structure. To bridge the gap between technical schemas and business-friendly presentations, PROC FORMAT was leveraged to produce a permanent character map ($segfmt), translating internal keys into professional classification strings. Global column labels and standard currency alignments (dollar12.2) were applied via PROC DATASETS.</w:t>
      </w:r>
    </w:p>
    <w:p>
      <w:pPr>
        <w:keepNext/>
        <w:spacing w:before="360" w:after="120"/>
      </w:pPr>
      <w:r>
        <w:rPr>
          <w:rFonts w:ascii="Arial" w:hAnsi="Arial"/>
          <w:b/>
          <w:color w:val="2B6CB0"/>
          <w:sz w:val="24"/>
        </w:rPr>
        <w:t>Phases 5 &amp; 6: Character Refinement &amp; Advanced Date Processing</w:t>
      </w:r>
    </w:p>
    <w:p>
      <w:pPr>
        <w:spacing w:after="160" w:line="276" w:lineRule="auto"/>
      </w:pPr>
      <w:r>
        <w:rPr>
          <w:rFonts w:ascii="Arial" w:hAnsi="Arial"/>
          <w:color w:val="2D3748"/>
          <w:sz w:val="21"/>
        </w:rPr>
        <w:t>Inconsistent naming conventions were resolved using string functions. Column casing was standardized using PROPCASE, full names were concatenated via CATX, and unique identifiers were generated using SUBSTR. Temporal metrics were computed using YRDIF and exact integer date differentials. Transaction velocity was calculated by deploying the LAG function within a sorted BY-group sequence to evaluate time gaps between consecutive activities.</w:t>
      </w:r>
    </w:p>
    <w:p>
      <w:pPr>
        <w:keepNext/>
        <w:spacing w:before="360" w:after="120"/>
      </w:pPr>
      <w:r>
        <w:rPr>
          <w:rFonts w:ascii="Arial" w:hAnsi="Arial"/>
          <w:b/>
          <w:color w:val="2B6CB0"/>
          <w:sz w:val="24"/>
        </w:rPr>
        <w:t>Phases 7 &amp; 8: Forward Simulation and Array-Based Sweep Engines</w:t>
      </w:r>
    </w:p>
    <w:p>
      <w:pPr>
        <w:spacing w:after="160" w:line="276" w:lineRule="auto"/>
      </w:pPr>
      <w:r>
        <w:rPr>
          <w:rFonts w:ascii="Arial" w:hAnsi="Arial"/>
          <w:color w:val="2D3748"/>
          <w:sz w:val="21"/>
        </w:rPr>
        <w:t>To forecast core liquidity growth, an iterative DO loop simulated interest accumulation over months 0 to 12 for asset-holding deposits. This simulation applies the compound interest formula to generate dynamic projection datasets:</w:t>
      </w:r>
    </w:p>
    <w:tbl>
      <w:tblPr>
        <w:tblW w:type="auto" w:w="0"/>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Pr>
          <w:p>
            <w:pPr>
              <w:jc w:val="center"/>
            </w:pPr>
            <w:r>
              <w:rPr>
                <w:rFonts w:ascii="Times New Roman" w:hAnsi="Times New Roman"/>
                <w:b/>
                <w:i/>
                <w:color w:val="1A365D"/>
                <w:sz w:val="22"/>
              </w:rPr>
              <w:t>ProjectedBalance = ProjectedBalance * (1 + (GrowthRate / 100) / 12)</w:t>
            </w:r>
          </w:p>
        </w:tc>
      </w:tr>
    </w:tbl>
    <w:p>
      <w:pPr>
        <w:spacing w:after="160" w:line="276" w:lineRule="auto"/>
      </w:pPr>
      <w:r>
        <w:rPr>
          <w:rFonts w:ascii="Arial" w:hAnsi="Arial"/>
          <w:color w:val="2D3748"/>
          <w:sz w:val="21"/>
        </w:rPr>
        <w:t>Horizontal analysis of wide historical monthly matrices was optimized using a 6-element numeric array (array M{6} Jan Feb Mar Apr May Jun;). The pipeline swept through each record to find maximum and minimum bounds, tracking down the exact index position of extreme values and looking up the text equivalent using the SCAN function.</w:t>
      </w:r>
    </w:p>
    <w:p>
      <w:pPr>
        <w:keepNext/>
        <w:spacing w:before="360" w:after="120"/>
      </w:pPr>
      <w:r>
        <w:rPr>
          <w:rFonts w:ascii="Arial" w:hAnsi="Arial"/>
          <w:b/>
          <w:color w:val="2B6CB0"/>
          <w:sz w:val="24"/>
        </w:rPr>
        <w:t>Phases 9 &amp; 10: Relational Merging &amp; Structural Schema Restructuring</w:t>
      </w:r>
    </w:p>
    <w:p>
      <w:pPr>
        <w:spacing w:after="160" w:line="276" w:lineRule="auto"/>
      </w:pPr>
      <w:r>
        <w:rPr>
          <w:rFonts w:ascii="Arial" w:hAnsi="Arial"/>
          <w:color w:val="2D3748"/>
          <w:sz w:val="21"/>
        </w:rPr>
        <w:t>Following strict primary-key ordering via PROC SORT, core master files were consolidated using multi-table match-merging. Conditional indicators (in=a) were assigned to execute exact relational joins, providing a holistic 360-degree view of clients, balances, and real-time transaction streams. PROC TRANSPOSE was utilized to restructure wide ledger data into long formats for time-series compatibility, and then inverted back to ensure complete schema preservation.</w:t>
      </w:r>
    </w:p>
    <w:p>
      <w:pPr>
        <w:keepNext/>
        <w:spacing w:before="360" w:after="120"/>
      </w:pPr>
      <w:r>
        <w:rPr>
          <w:rFonts w:ascii="Arial" w:hAnsi="Arial"/>
          <w:b/>
          <w:color w:val="2B6CB0"/>
          <w:sz w:val="24"/>
        </w:rPr>
        <w:t>Phases 11 &amp; 12: Applied Descriptive Analytics &amp; ODS Architecture</w:t>
      </w:r>
    </w:p>
    <w:p>
      <w:pPr>
        <w:spacing w:after="160" w:line="276" w:lineRule="auto"/>
      </w:pPr>
      <w:r>
        <w:rPr>
          <w:rFonts w:ascii="Arial" w:hAnsi="Arial"/>
          <w:color w:val="2D3748"/>
          <w:sz w:val="21"/>
        </w:rPr>
        <w:t>Statistical profiling was conducted across account profiles via PROC MEANS, PROC FREQ, and PROC UNIVARIATE (including continuous normal distribution fitting curves). Reporting outputs were bound directly to the corporate Output Delivery System (ODS) to generate production-quality results across two separate media pipelines:</w:t>
      </w:r>
    </w:p>
    <w:p>
      <w:pPr>
        <w:pStyle w:val="ListBullet"/>
        <w:spacing w:after="80" w:line="276" w:lineRule="auto"/>
      </w:pPr>
      <w:r>
        <w:rPr>
          <w:rFonts w:ascii="Arial" w:hAnsi="Arial"/>
          <w:b/>
          <w:sz w:val="21"/>
        </w:rPr>
        <w:t xml:space="preserve">ODS PDF: </w:t>
      </w:r>
      <w:r>
        <w:rPr>
          <w:rFonts w:ascii="Arial" w:hAnsi="Arial"/>
          <w:color w:val="2D3748"/>
          <w:sz w:val="21"/>
        </w:rPr>
        <w:t>Formatted via the clean journal engine to generate executive reports complete with financial summary totals.</w:t>
      </w:r>
    </w:p>
    <w:p>
      <w:pPr>
        <w:pStyle w:val="ListBullet"/>
        <w:spacing w:after="80" w:line="276" w:lineRule="auto"/>
      </w:pPr>
      <w:r>
        <w:rPr>
          <w:rFonts w:ascii="Arial" w:hAnsi="Arial"/>
          <w:b/>
          <w:sz w:val="21"/>
        </w:rPr>
        <w:t xml:space="preserve">ODS EXCEL: </w:t>
      </w:r>
      <w:r>
        <w:rPr>
          <w:rFonts w:ascii="Arial" w:hAnsi="Arial"/>
          <w:color w:val="2D3748"/>
          <w:sz w:val="21"/>
        </w:rPr>
        <w:t>Programmed with advanced multi-tab instructions (sheet_interval="proc" and frozen_headers="yes") to build live, analytical financial workbooks.</w:t>
      </w:r>
    </w:p>
    <w:p>
      <w:pPr>
        <w:keepNext/>
        <w:spacing w:before="360" w:after="120"/>
      </w:pPr>
      <w:r>
        <w:rPr>
          <w:rFonts w:ascii="Arial" w:hAnsi="Arial"/>
          <w:b/>
          <w:color w:val="2B6CB0"/>
          <w:sz w:val="24"/>
        </w:rPr>
        <w:t>Phases 14 &amp; 15: Macro-Driven Automation &amp; Parallel SQL Execution</w:t>
      </w:r>
    </w:p>
    <w:p>
      <w:pPr>
        <w:spacing w:after="160" w:line="276" w:lineRule="auto"/>
      </w:pPr>
      <w:r>
        <w:rPr>
          <w:rFonts w:ascii="Arial" w:hAnsi="Arial"/>
          <w:color w:val="2D3748"/>
          <w:sz w:val="21"/>
        </w:rPr>
        <w:t>To minimize repetitive code blocks, a parameterized macro framework (%SummaryReport) was constructed, enabling automated cross-sectional summaries across any assigned categorical dimensions. Finally, a standard relational database layer was built in parallel using PROC SQL to execute native group aggregates, verifying and validating data step outputs against standard SQL design protocols.</w:t>
      </w:r>
    </w:p>
    <w:p>
      <w:pPr>
        <w:keepNext/>
        <w:spacing w:before="360" w:after="120"/>
        <w:pBdr>
          <w:bottom w:val="single" w:sz="12" w:space="4" w:color="2B6CB0"/>
        </w:pBdr>
      </w:pPr>
      <w:r>
        <w:rPr>
          <w:rFonts w:ascii="Arial" w:hAnsi="Arial"/>
          <w:b/>
          <w:color w:val="1A365D"/>
          <w:sz w:val="28"/>
        </w:rPr>
        <w:t>4. Architectural Best Practices &amp; Implementation Review</w:t>
      </w:r>
    </w:p>
    <w:p>
      <w:pPr>
        <w:spacing w:after="160" w:line="276" w:lineRule="auto"/>
      </w:pPr>
      <w:r>
        <w:rPr>
          <w:rFonts w:ascii="Arial" w:hAnsi="Arial"/>
          <w:color w:val="2D3748"/>
          <w:sz w:val="21"/>
        </w:rPr>
        <w:t>The engineered workflow establishes a robust framework suitable for institutional business analytics. By decoupling the core data manipulation layers from the visual reporting presentation tiers, the database integrity remains stable when new cycles of raw records are introduced.</w:t>
      </w:r>
    </w:p>
    <w:p>
      <w:pPr>
        <w:spacing w:after="160" w:line="276" w:lineRule="auto"/>
      </w:pPr>
      <w:r>
        <w:rPr>
          <w:rFonts w:ascii="Arial" w:hAnsi="Arial"/>
          <w:color w:val="2D3748"/>
          <w:sz w:val="21"/>
        </w:rPr>
        <w:t>The heavy reliance on permanent library schemas (FINANCE) reduces volatile runtime overhead, while parameterized macros convert static procedures into scalable code structures. Compliance teams can instantly locate negative balance positions to limit exposure, while marketing divisions can pull segmented premium customer lists straight from the formatted master 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