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04995" w14:textId="19C346CC" w:rsidR="002E643C" w:rsidRPr="002E643C" w:rsidRDefault="002E643C" w:rsidP="002E643C">
      <w:pPr>
        <w:pStyle w:val="Heading2"/>
        <w:rPr>
          <w:rFonts w:ascii="Arial" w:eastAsia="Times New Roman" w:hAnsi="Arial" w:cs="Arial"/>
          <w:b/>
          <w:bCs/>
          <w:color w:val="auto"/>
          <w:kern w:val="36"/>
          <w:sz w:val="20"/>
          <w:szCs w:val="20"/>
          <w14:ligatures w14:val="none"/>
        </w:rPr>
      </w:pPr>
      <w:r w:rsidRPr="002E643C">
        <w:rPr>
          <w:rFonts w:ascii="Arial" w:hAnsi="Arial" w:cs="Arial"/>
          <w:sz w:val="20"/>
          <w:szCs w:val="20"/>
        </w:rPr>
        <w:br/>
      </w:r>
      <w:r w:rsidRPr="002E643C">
        <w:rPr>
          <w:rStyle w:val="s1"/>
        </w:rPr>
        <w:t>INTRODUCTION TO STEELTRACE</w:t>
      </w:r>
    </w:p>
    <w:p w14:paraId="7CE38C87"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is a Dutch technology company established in 2017, with headquarters in the Netherlands and a presence in Houston, Texas. Our multidisciplinary team combines expertise in software engineering, metallurgy, quality assurance, cybersecurity, and industrial operations to solve one of the biggest challenges facing safety-critical industries: trusted manufacturing and quality data.</w:t>
      </w:r>
    </w:p>
    <w:p w14:paraId="4093081C"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is the standard for Smart Manufacturing Records (SMRs) in safety-critical industries. Our cloud-based Software-as-a-Service (SaaS) platform replaces paper- and PDF-based quality, compliance, and traceability processes with smart, data-native workflows secured by blockchain technology.</w:t>
      </w:r>
    </w:p>
    <w:p w14:paraId="63AAF7C1"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 xml:space="preserve">The </w:t>
      </w: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platform connects operators, EPCs, manufacturers, laboratories, inspection companies, </w:t>
      </w:r>
      <w:proofErr w:type="spellStart"/>
      <w:r w:rsidRPr="002E643C">
        <w:rPr>
          <w:rFonts w:ascii="Arial" w:eastAsia="Times New Roman" w:hAnsi="Arial" w:cs="Arial"/>
          <w:kern w:val="0"/>
          <w:sz w:val="20"/>
          <w:szCs w:val="20"/>
          <w14:ligatures w14:val="none"/>
        </w:rPr>
        <w:t>stockists</w:t>
      </w:r>
      <w:proofErr w:type="spellEnd"/>
      <w:r w:rsidRPr="002E643C">
        <w:rPr>
          <w:rFonts w:ascii="Arial" w:eastAsia="Times New Roman" w:hAnsi="Arial" w:cs="Arial"/>
          <w:kern w:val="0"/>
          <w:sz w:val="20"/>
          <w:szCs w:val="20"/>
          <w14:ligatures w14:val="none"/>
        </w:rPr>
        <w:t xml:space="preserve">, and other supply chain participants in a single digital ecosystem. By capturing, validating, and verifying data at its source, </w:t>
      </w: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creates a trusted and structured data foundation that enables real-time compliance, end-to-end traceability, and immutable auditability across complex supply chains.</w:t>
      </w:r>
    </w:p>
    <w:p w14:paraId="30EFA24C"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 xml:space="preserve">Unlike traditional quality management systems or document repositories, </w:t>
      </w:r>
      <w:proofErr w:type="spellStart"/>
      <w:r w:rsidRPr="002E643C">
        <w:rPr>
          <w:rFonts w:ascii="Arial" w:eastAsia="Times New Roman" w:hAnsi="Arial" w:cs="Arial"/>
          <w:kern w:val="0"/>
          <w:sz w:val="20"/>
          <w:szCs w:val="20"/>
          <w14:ligatures w14:val="none"/>
        </w:rPr>
        <w:t>SteelTrace embeds requirements</w:t>
      </w:r>
      <w:proofErr w:type="spellEnd"/>
      <w:r w:rsidRPr="002E643C">
        <w:rPr>
          <w:rFonts w:ascii="Arial" w:eastAsia="Times New Roman" w:hAnsi="Arial" w:cs="Arial"/>
          <w:kern w:val="0"/>
          <w:sz w:val="20"/>
          <w:szCs w:val="20"/>
          <w14:ligatures w14:val="none"/>
        </w:rPr>
        <w:t xml:space="preserve"> and verification rules directly into the workflow. This enables organizations to move from compliance-by-audit to compliance-by-design, automatically validating manufacturing and inspection data against project specifications, quality plans, and regulatory requirements as work is performed.</w:t>
      </w:r>
    </w:p>
    <w:p w14:paraId="743208C2" w14:textId="3CB5FDD1"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supports the complete asset lifecycle</w:t>
      </w:r>
      <w:r>
        <w:rPr>
          <w:rFonts w:ascii="Arial" w:eastAsia="Times New Roman" w:hAnsi="Arial" w:cs="Arial"/>
          <w:kern w:val="0"/>
          <w:sz w:val="20"/>
          <w:szCs w:val="20"/>
          <w14:ligatures w14:val="none"/>
        </w:rPr>
        <w:t xml:space="preserve"> </w:t>
      </w:r>
      <w:r w:rsidRPr="002E643C">
        <w:rPr>
          <w:rFonts w:ascii="Arial" w:eastAsia="Times New Roman" w:hAnsi="Arial" w:cs="Arial"/>
          <w:kern w:val="0"/>
          <w:sz w:val="20"/>
          <w:szCs w:val="20"/>
          <w14:ligatures w14:val="none"/>
        </w:rPr>
        <w:t>from raw material and manufacturing through construction, operation, maintenance, and decommissioning</w:t>
      </w:r>
      <w:r>
        <w:rPr>
          <w:rFonts w:ascii="Arial" w:eastAsia="Times New Roman" w:hAnsi="Arial" w:cs="Arial"/>
          <w:kern w:val="0"/>
          <w:sz w:val="20"/>
          <w:szCs w:val="20"/>
          <w14:ligatures w14:val="none"/>
        </w:rPr>
        <w:t xml:space="preserve">, </w:t>
      </w:r>
      <w:r w:rsidRPr="002E643C">
        <w:rPr>
          <w:rFonts w:ascii="Arial" w:eastAsia="Times New Roman" w:hAnsi="Arial" w:cs="Arial"/>
          <w:kern w:val="0"/>
          <w:sz w:val="20"/>
          <w:szCs w:val="20"/>
          <w14:ligatures w14:val="none"/>
        </w:rPr>
        <w:t>providing cradle-to-grave traceability and a trusted foundation for Digital Twins, predictive analytics, AI initiatives, and asset integrity management.</w:t>
      </w:r>
    </w:p>
    <w:p w14:paraId="3E8701CC" w14:textId="6EC0E2E5"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 xml:space="preserve">Today, </w:t>
      </w: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primarily serves the </w:t>
      </w:r>
      <w:r>
        <w:rPr>
          <w:rFonts w:ascii="Arial" w:eastAsia="Times New Roman" w:hAnsi="Arial" w:cs="Arial"/>
          <w:kern w:val="0"/>
          <w:sz w:val="20"/>
          <w:szCs w:val="20"/>
          <w14:ligatures w14:val="none"/>
        </w:rPr>
        <w:t>E</w:t>
      </w:r>
      <w:r w:rsidRPr="002E643C">
        <w:rPr>
          <w:rFonts w:ascii="Arial" w:eastAsia="Times New Roman" w:hAnsi="Arial" w:cs="Arial"/>
          <w:kern w:val="0"/>
          <w:sz w:val="20"/>
          <w:szCs w:val="20"/>
          <w14:ligatures w14:val="none"/>
        </w:rPr>
        <w:t xml:space="preserve">nergy sector, including oil and gas, LNG, carbon capture, hydrogen, and other energy infrastructure projects, while its Smart Manufacturing Record approach is equally applicable to </w:t>
      </w:r>
      <w:r>
        <w:rPr>
          <w:rFonts w:ascii="Arial" w:eastAsia="Times New Roman" w:hAnsi="Arial" w:cs="Arial"/>
          <w:kern w:val="0"/>
          <w:sz w:val="20"/>
          <w:szCs w:val="20"/>
          <w14:ligatures w14:val="none"/>
        </w:rPr>
        <w:t>A</w:t>
      </w:r>
      <w:r w:rsidRPr="002E643C">
        <w:rPr>
          <w:rFonts w:ascii="Arial" w:eastAsia="Times New Roman" w:hAnsi="Arial" w:cs="Arial"/>
          <w:kern w:val="0"/>
          <w:sz w:val="20"/>
          <w:szCs w:val="20"/>
          <w14:ligatures w14:val="none"/>
        </w:rPr>
        <w:t xml:space="preserve">erospace, </w:t>
      </w:r>
      <w:r>
        <w:rPr>
          <w:rFonts w:ascii="Arial" w:eastAsia="Times New Roman" w:hAnsi="Arial" w:cs="Arial"/>
          <w:kern w:val="0"/>
          <w:sz w:val="20"/>
          <w:szCs w:val="20"/>
          <w14:ligatures w14:val="none"/>
        </w:rPr>
        <w:t>D</w:t>
      </w:r>
      <w:r w:rsidRPr="002E643C">
        <w:rPr>
          <w:rFonts w:ascii="Arial" w:eastAsia="Times New Roman" w:hAnsi="Arial" w:cs="Arial"/>
          <w:kern w:val="0"/>
          <w:sz w:val="20"/>
          <w:szCs w:val="20"/>
          <w14:ligatures w14:val="none"/>
        </w:rPr>
        <w:t xml:space="preserve">efense, </w:t>
      </w:r>
      <w:r>
        <w:rPr>
          <w:rFonts w:ascii="Arial" w:eastAsia="Times New Roman" w:hAnsi="Arial" w:cs="Arial"/>
          <w:kern w:val="0"/>
          <w:sz w:val="20"/>
          <w:szCs w:val="20"/>
          <w14:ligatures w14:val="none"/>
        </w:rPr>
        <w:t>M</w:t>
      </w:r>
      <w:r w:rsidRPr="002E643C">
        <w:rPr>
          <w:rFonts w:ascii="Arial" w:eastAsia="Times New Roman" w:hAnsi="Arial" w:cs="Arial"/>
          <w:kern w:val="0"/>
          <w:sz w:val="20"/>
          <w:szCs w:val="20"/>
          <w14:ligatures w14:val="none"/>
        </w:rPr>
        <w:t>edical devices, and other highly regulated industries.</w:t>
      </w:r>
    </w:p>
    <w:p w14:paraId="5C5CCA98" w14:textId="77777777" w:rsid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 xml:space="preserve">By transforming manufacturing and quality data into a structured, searchable, and trusted asset, </w:t>
      </w:r>
      <w:proofErr w:type="spellStart"/>
      <w:r w:rsidRPr="002E643C">
        <w:rPr>
          <w:rFonts w:ascii="Arial" w:eastAsia="Times New Roman" w:hAnsi="Arial" w:cs="Arial"/>
          <w:kern w:val="0"/>
          <w:sz w:val="20"/>
          <w:szCs w:val="20"/>
          <w14:ligatures w14:val="none"/>
        </w:rPr>
        <w:t>SteelTrace</w:t>
      </w:r>
      <w:proofErr w:type="spellEnd"/>
      <w:r w:rsidRPr="002E643C">
        <w:rPr>
          <w:rFonts w:ascii="Arial" w:eastAsia="Times New Roman" w:hAnsi="Arial" w:cs="Arial"/>
          <w:kern w:val="0"/>
          <w:sz w:val="20"/>
          <w:szCs w:val="20"/>
          <w14:ligatures w14:val="none"/>
        </w:rPr>
        <w:t xml:space="preserve"> helps organizations reduce risk, improve efficiency, accelerate project execution, strengthen regulatory compliance, and make data the cornerstone of decision-making.</w:t>
      </w:r>
    </w:p>
    <w:p w14:paraId="5DB505F1" w14:textId="77777777" w:rsidR="002E643C" w:rsidRDefault="002E643C" w:rsidP="002E643C">
      <w:pPr>
        <w:pStyle w:val="Heading2"/>
      </w:pPr>
      <w:r>
        <w:rPr>
          <w:rStyle w:val="s1"/>
        </w:rPr>
        <w:t>Our Mission</w:t>
      </w:r>
    </w:p>
    <w:p w14:paraId="04B1C8EB"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Our mission is to transform quality, compliance, and traceability into a trusted digital foundation for safety-critical industries by replacing fragmented, document-based processes with Smart Manufacturing Records that improve safety, reduce risk, and enable better decisions throughout the asset lifecycle.</w:t>
      </w:r>
    </w:p>
    <w:p w14:paraId="33759519" w14:textId="77777777" w:rsidR="002E643C" w:rsidRDefault="002E643C" w:rsidP="002E643C">
      <w:pPr>
        <w:pStyle w:val="Heading2"/>
      </w:pPr>
      <w:r>
        <w:rPr>
          <w:rStyle w:val="s1"/>
        </w:rPr>
        <w:t>Our Vision</w:t>
      </w:r>
    </w:p>
    <w:p w14:paraId="40E59CA0"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r w:rsidRPr="002E643C">
        <w:rPr>
          <w:rFonts w:ascii="Arial" w:eastAsia="Times New Roman" w:hAnsi="Arial" w:cs="Arial"/>
          <w:kern w:val="0"/>
          <w:sz w:val="20"/>
          <w:szCs w:val="20"/>
          <w14:ligatures w14:val="none"/>
        </w:rPr>
        <w:t>Our vision is a world where manufacturing and asset data flows seamlessly across the supply chain, enabling quality to be assured by design rather than verified after the fact. We envision an interconnected ecosystem where trusted, structured, and traceable data powers safer operations, smarter decisions, Digital Twins, AI-driven insights, and full asset lifecycle transparency from cradle to grave.</w:t>
      </w:r>
    </w:p>
    <w:p w14:paraId="7BBD71F0" w14:textId="77777777" w:rsidR="002E643C" w:rsidRPr="002E643C" w:rsidRDefault="002E643C" w:rsidP="002E643C">
      <w:pPr>
        <w:spacing w:before="100" w:beforeAutospacing="1" w:after="100" w:afterAutospacing="1" w:line="240" w:lineRule="auto"/>
        <w:rPr>
          <w:rFonts w:ascii="Arial" w:eastAsia="Times New Roman" w:hAnsi="Arial" w:cs="Arial"/>
          <w:kern w:val="0"/>
          <w:sz w:val="20"/>
          <w:szCs w:val="20"/>
          <w14:ligatures w14:val="none"/>
        </w:rPr>
      </w:pPr>
    </w:p>
    <w:p w14:paraId="0511E1AB" w14:textId="6ED5211A" w:rsidR="0069266D" w:rsidRPr="002E643C" w:rsidRDefault="0069266D">
      <w:pPr>
        <w:rPr>
          <w:rFonts w:ascii="Arial" w:hAnsi="Arial" w:cs="Arial"/>
          <w:sz w:val="20"/>
          <w:szCs w:val="20"/>
        </w:rPr>
      </w:pPr>
    </w:p>
    <w:sectPr w:rsidR="0069266D" w:rsidRPr="002E6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3C"/>
    <w:rsid w:val="00027944"/>
    <w:rsid w:val="001D445F"/>
    <w:rsid w:val="002E643C"/>
    <w:rsid w:val="0069266D"/>
    <w:rsid w:val="00DE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5873B"/>
  <w15:chartTrackingRefBased/>
  <w15:docId w15:val="{6FCD4A26-9B96-384B-BBFF-B9A7242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3C"/>
    <w:rPr>
      <w:rFonts w:eastAsiaTheme="majorEastAsia" w:cstheme="majorBidi"/>
      <w:color w:val="272727" w:themeColor="text1" w:themeTint="D8"/>
    </w:rPr>
  </w:style>
  <w:style w:type="paragraph" w:styleId="Title">
    <w:name w:val="Title"/>
    <w:basedOn w:val="Normal"/>
    <w:next w:val="Normal"/>
    <w:link w:val="TitleChar"/>
    <w:uiPriority w:val="10"/>
    <w:qFormat/>
    <w:rsid w:val="002E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3C"/>
    <w:pPr>
      <w:spacing w:before="160"/>
      <w:jc w:val="center"/>
    </w:pPr>
    <w:rPr>
      <w:i/>
      <w:iCs/>
      <w:color w:val="404040" w:themeColor="text1" w:themeTint="BF"/>
    </w:rPr>
  </w:style>
  <w:style w:type="character" w:customStyle="1" w:styleId="QuoteChar">
    <w:name w:val="Quote Char"/>
    <w:basedOn w:val="DefaultParagraphFont"/>
    <w:link w:val="Quote"/>
    <w:uiPriority w:val="29"/>
    <w:rsid w:val="002E643C"/>
    <w:rPr>
      <w:i/>
      <w:iCs/>
      <w:color w:val="404040" w:themeColor="text1" w:themeTint="BF"/>
    </w:rPr>
  </w:style>
  <w:style w:type="paragraph" w:styleId="ListParagraph">
    <w:name w:val="List Paragraph"/>
    <w:basedOn w:val="Normal"/>
    <w:uiPriority w:val="34"/>
    <w:qFormat/>
    <w:rsid w:val="002E643C"/>
    <w:pPr>
      <w:ind w:left="720"/>
      <w:contextualSpacing/>
    </w:pPr>
  </w:style>
  <w:style w:type="character" w:styleId="IntenseEmphasis">
    <w:name w:val="Intense Emphasis"/>
    <w:basedOn w:val="DefaultParagraphFont"/>
    <w:uiPriority w:val="21"/>
    <w:qFormat/>
    <w:rsid w:val="002E643C"/>
    <w:rPr>
      <w:i/>
      <w:iCs/>
      <w:color w:val="0F4761" w:themeColor="accent1" w:themeShade="BF"/>
    </w:rPr>
  </w:style>
  <w:style w:type="paragraph" w:styleId="IntenseQuote">
    <w:name w:val="Intense Quote"/>
    <w:basedOn w:val="Normal"/>
    <w:next w:val="Normal"/>
    <w:link w:val="IntenseQuoteChar"/>
    <w:uiPriority w:val="30"/>
    <w:qFormat/>
    <w:rsid w:val="002E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3C"/>
    <w:rPr>
      <w:i/>
      <w:iCs/>
      <w:color w:val="0F4761" w:themeColor="accent1" w:themeShade="BF"/>
    </w:rPr>
  </w:style>
  <w:style w:type="character" w:styleId="IntenseReference">
    <w:name w:val="Intense Reference"/>
    <w:basedOn w:val="DefaultParagraphFont"/>
    <w:uiPriority w:val="32"/>
    <w:qFormat/>
    <w:rsid w:val="002E643C"/>
    <w:rPr>
      <w:b/>
      <w:bCs/>
      <w:smallCaps/>
      <w:color w:val="0F4761" w:themeColor="accent1" w:themeShade="BF"/>
      <w:spacing w:val="5"/>
    </w:rPr>
  </w:style>
  <w:style w:type="character" w:customStyle="1" w:styleId="s1">
    <w:name w:val="s1"/>
    <w:basedOn w:val="DefaultParagraphFont"/>
    <w:rsid w:val="002E643C"/>
  </w:style>
  <w:style w:type="paragraph" w:customStyle="1" w:styleId="p2">
    <w:name w:val="p2"/>
    <w:basedOn w:val="Normal"/>
    <w:rsid w:val="002E64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de Rijcke</dc:creator>
  <cp:keywords/>
  <dc:description/>
  <cp:lastModifiedBy>Erwin de Rijcke</cp:lastModifiedBy>
  <cp:revision>1</cp:revision>
  <dcterms:created xsi:type="dcterms:W3CDTF">2026-06-02T12:22:00Z</dcterms:created>
  <dcterms:modified xsi:type="dcterms:W3CDTF">2026-06-02T12:25:00Z</dcterms:modified>
</cp:coreProperties>
</file>