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DC073" w14:textId="07F8B560" w:rsidR="008E6D22" w:rsidRDefault="00184E11" w:rsidP="00184E11">
      <w:proofErr w:type="spellStart"/>
      <w:r>
        <w:t>Vergleich</w:t>
      </w:r>
      <w:proofErr w:type="spellEnd"/>
      <w:r>
        <w:t xml:space="preserve"> der </w:t>
      </w:r>
      <w:proofErr w:type="spellStart"/>
      <w:r>
        <w:t>Verlustfunktionen</w:t>
      </w:r>
      <w:proofErr w:type="spellEnd"/>
    </w:p>
    <w:p w14:paraId="33E99E09" w14:textId="411E66E0" w:rsidR="002E0829" w:rsidRDefault="002E0829" w:rsidP="00184E11">
      <w:proofErr w:type="spellStart"/>
      <w:r>
        <w:t>Trainingszeit</w:t>
      </w:r>
      <w:proofErr w:type="spellEnd"/>
      <w:r>
        <w:t xml:space="preserve"> </w:t>
      </w:r>
      <w:proofErr w:type="spellStart"/>
      <w:r>
        <w:t>bleibt</w:t>
      </w:r>
      <w:proofErr w:type="spellEnd"/>
      <w:r>
        <w:t xml:space="preserve"> </w:t>
      </w:r>
      <w:proofErr w:type="spellStart"/>
      <w:r>
        <w:t>gleich</w:t>
      </w:r>
      <w:proofErr w:type="spellEnd"/>
    </w:p>
    <w:p w14:paraId="538F1E58" w14:textId="77777777" w:rsidR="00894B06" w:rsidRDefault="00894B06" w:rsidP="00184E11"/>
    <w:p w14:paraId="080646ED" w14:textId="69EB0CC2" w:rsidR="002E0829" w:rsidRDefault="002E0829" w:rsidP="00184E11">
      <w:pPr>
        <w:rPr>
          <w:lang w:val="de-DE"/>
        </w:rPr>
      </w:pPr>
      <w:r w:rsidRPr="002E0829">
        <w:rPr>
          <w:lang w:val="de-DE"/>
        </w:rPr>
        <w:t>In der Kreuzvalidierung zeigt sich M</w:t>
      </w:r>
      <w:r>
        <w:rPr>
          <w:lang w:val="de-DE"/>
        </w:rPr>
        <w:t xml:space="preserve">SE deutlich </w:t>
      </w:r>
      <w:r w:rsidR="00EA205A">
        <w:rPr>
          <w:lang w:val="de-DE"/>
        </w:rPr>
        <w:t>zuverlässiger, sowohl</w:t>
      </w:r>
      <w:r>
        <w:rPr>
          <w:lang w:val="de-DE"/>
        </w:rPr>
        <w:t xml:space="preserve"> für </w:t>
      </w:r>
      <w:r w:rsidR="00EA205A">
        <w:rPr>
          <w:lang w:val="de-DE"/>
        </w:rPr>
        <w:t>Auswertung</w:t>
      </w:r>
      <w:r>
        <w:rPr>
          <w:lang w:val="de-DE"/>
        </w:rPr>
        <w:t xml:space="preserve"> mit </w:t>
      </w:r>
      <w:r w:rsidR="00EA205A">
        <w:rPr>
          <w:lang w:val="de-DE"/>
        </w:rPr>
        <w:t xml:space="preserve">der Metrik </w:t>
      </w:r>
      <w:r>
        <w:rPr>
          <w:lang w:val="de-DE"/>
        </w:rPr>
        <w:t xml:space="preserve">MSE </w:t>
      </w:r>
      <w:r w:rsidR="00EA205A">
        <w:rPr>
          <w:lang w:val="de-DE"/>
        </w:rPr>
        <w:t xml:space="preserve">und </w:t>
      </w:r>
      <w:r w:rsidR="004540FD">
        <w:rPr>
          <w:lang w:val="de-DE"/>
        </w:rPr>
        <w:t xml:space="preserve">Metrik </w:t>
      </w:r>
      <w:r>
        <w:rPr>
          <w:lang w:val="de-DE"/>
        </w:rPr>
        <w:t xml:space="preserve">MAE </w:t>
      </w:r>
    </w:p>
    <w:p w14:paraId="3854B22A" w14:textId="2434615C" w:rsidR="00035FB7" w:rsidRDefault="00527A57" w:rsidP="00184E11">
      <w:pPr>
        <w:rPr>
          <w:lang w:val="de-DE"/>
        </w:rPr>
      </w:pPr>
      <w:r>
        <w:rPr>
          <w:noProof/>
        </w:rPr>
        <w:drawing>
          <wp:inline distT="0" distB="0" distL="0" distR="0" wp14:anchorId="044CB595" wp14:editId="6747FDA5">
            <wp:extent cx="2823667" cy="2639842"/>
            <wp:effectExtent l="0" t="0" r="0" b="8255"/>
            <wp:docPr id="345191165" name="Grafik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1" cy="264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9D0">
        <w:rPr>
          <w:lang w:val="de-DE"/>
        </w:rPr>
        <w:t xml:space="preserve"> </w:t>
      </w:r>
      <w:r>
        <w:rPr>
          <w:noProof/>
        </w:rPr>
        <w:drawing>
          <wp:inline distT="0" distB="0" distL="0" distR="0" wp14:anchorId="7B6ABB5D" wp14:editId="1DD66B96">
            <wp:extent cx="2816352" cy="2633005"/>
            <wp:effectExtent l="0" t="0" r="3175" b="0"/>
            <wp:docPr id="20879738" name="Grafik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0" cy="263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CEF0" w14:textId="4DC491BB" w:rsidR="00035FB7" w:rsidRDefault="00B079D0" w:rsidP="00184E11">
      <w:pPr>
        <w:rPr>
          <w:lang w:val="de-DE"/>
        </w:rPr>
      </w:pPr>
      <w:r>
        <w:rPr>
          <w:lang w:val="de-DE"/>
        </w:rPr>
        <w:t xml:space="preserve">Die jeweils besten </w:t>
      </w:r>
      <w:proofErr w:type="spellStart"/>
      <w:r>
        <w:rPr>
          <w:lang w:val="de-DE"/>
        </w:rPr>
        <w:t>modell</w:t>
      </w:r>
      <w:proofErr w:type="spellEnd"/>
      <w:r>
        <w:rPr>
          <w:lang w:val="de-DE"/>
        </w:rPr>
        <w:t xml:space="preserve"> von MSE und MAE</w:t>
      </w:r>
      <w:r w:rsidR="00035FB7">
        <w:rPr>
          <w:lang w:val="de-DE"/>
        </w:rPr>
        <w:t xml:space="preserve"> hingegen zeigt </w:t>
      </w:r>
      <w:r>
        <w:rPr>
          <w:lang w:val="de-DE"/>
        </w:rPr>
        <w:t xml:space="preserve">gelesen am RMSE </w:t>
      </w:r>
      <w:r w:rsidR="00035FB7">
        <w:rPr>
          <w:lang w:val="de-DE"/>
        </w:rPr>
        <w:t xml:space="preserve">kaum noch </w:t>
      </w:r>
      <w:proofErr w:type="spellStart"/>
      <w:r w:rsidR="00035FB7">
        <w:rPr>
          <w:lang w:val="de-DE"/>
        </w:rPr>
        <w:t>unterschiede</w:t>
      </w:r>
      <w:proofErr w:type="spellEnd"/>
      <w:r w:rsidR="00035FB7">
        <w:rPr>
          <w:lang w:val="de-DE"/>
        </w:rPr>
        <w:t>. Beide schneiden bereits gut ab.</w:t>
      </w:r>
      <w:r>
        <w:rPr>
          <w:lang w:val="de-DE"/>
        </w:rPr>
        <w:t xml:space="preserve"> Gelesen am </w:t>
      </w:r>
      <w:proofErr w:type="gramStart"/>
      <w:r>
        <w:rPr>
          <w:lang w:val="de-DE"/>
        </w:rPr>
        <w:t>MAE  als</w:t>
      </w:r>
      <w:proofErr w:type="gramEnd"/>
      <w:r>
        <w:rPr>
          <w:lang w:val="de-DE"/>
        </w:rPr>
        <w:t xml:space="preserve"> Metrik schneidet der das Modell mit MAE als Verlustfunktion besser ab.</w:t>
      </w:r>
    </w:p>
    <w:p w14:paraId="630B63B7" w14:textId="1C55F3F3" w:rsidR="00B079D0" w:rsidRDefault="00B079D0" w:rsidP="00184E11">
      <w:pPr>
        <w:rPr>
          <w:lang w:val="de-DE"/>
        </w:rPr>
      </w:pPr>
      <w:r>
        <w:rPr>
          <w:noProof/>
        </w:rPr>
        <w:drawing>
          <wp:inline distT="0" distB="0" distL="0" distR="0" wp14:anchorId="262AFD9B" wp14:editId="0C067C16">
            <wp:extent cx="2852852" cy="2570468"/>
            <wp:effectExtent l="0" t="0" r="5080" b="1905"/>
            <wp:docPr id="62402996" name="Grafik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33" cy="257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9D0">
        <w:rPr>
          <w:lang w:val="de-DE"/>
        </w:rPr>
        <w:t xml:space="preserve"> </w:t>
      </w:r>
      <w:r>
        <w:rPr>
          <w:noProof/>
        </w:rPr>
        <w:drawing>
          <wp:inline distT="0" distB="0" distL="0" distR="0" wp14:anchorId="5F6A1107" wp14:editId="08ACFA1D">
            <wp:extent cx="2823414" cy="2591082"/>
            <wp:effectExtent l="0" t="0" r="0" b="0"/>
            <wp:docPr id="318169289" name="Grafik 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6" cy="259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2BB7" w14:textId="79ADE610" w:rsidR="00035FB7" w:rsidRDefault="00035FB7" w:rsidP="00184E11">
      <w:pPr>
        <w:rPr>
          <w:lang w:val="de-DE"/>
        </w:rPr>
      </w:pPr>
      <w:r>
        <w:rPr>
          <w:lang w:val="de-DE"/>
        </w:rPr>
        <w:t xml:space="preserve">Bezogen auf die Größenklassen lässt sich erkennen, das MSE besser abschneidet bei sehr hohen werden und im </w:t>
      </w:r>
      <w:proofErr w:type="spellStart"/>
      <w:r>
        <w:rPr>
          <w:lang w:val="de-DE"/>
        </w:rPr>
        <w:t>mittelfeld</w:t>
      </w:r>
      <w:proofErr w:type="spellEnd"/>
      <w:r>
        <w:rPr>
          <w:lang w:val="de-DE"/>
        </w:rPr>
        <w:t xml:space="preserve"> etwas schlechter.</w:t>
      </w:r>
    </w:p>
    <w:p w14:paraId="68357174" w14:textId="077A06CF" w:rsidR="00B079D0" w:rsidRDefault="00B079D0" w:rsidP="00184E11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244CF375" wp14:editId="5BA54B88">
            <wp:extent cx="5153559" cy="2560305"/>
            <wp:effectExtent l="0" t="0" r="0" b="0"/>
            <wp:docPr id="1551680051" name="Grafik 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03" cy="25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C075" w14:textId="1D0B6D23" w:rsidR="00035FB7" w:rsidRDefault="00035FB7" w:rsidP="00184E11">
      <w:pPr>
        <w:rPr>
          <w:lang w:val="de-DE"/>
        </w:rPr>
      </w:pPr>
      <w:r>
        <w:rPr>
          <w:lang w:val="de-DE"/>
        </w:rPr>
        <w:t xml:space="preserve">Auf bei der Maximalwertabweichung sind nur kleiner unterschiede zu erkennen, jedoch schneidet MSE </w:t>
      </w:r>
      <w:r w:rsidR="005136F0">
        <w:rPr>
          <w:lang w:val="de-DE"/>
        </w:rPr>
        <w:t xml:space="preserve">mit einer Mittleren </w:t>
      </w:r>
      <w:proofErr w:type="spellStart"/>
      <w:r w:rsidR="005136F0">
        <w:rPr>
          <w:lang w:val="de-DE"/>
        </w:rPr>
        <w:t>porzentualen</w:t>
      </w:r>
      <w:proofErr w:type="spellEnd"/>
      <w:r w:rsidR="005136F0">
        <w:rPr>
          <w:lang w:val="de-DE"/>
        </w:rPr>
        <w:t xml:space="preserve"> </w:t>
      </w:r>
      <w:proofErr w:type="spellStart"/>
      <w:r w:rsidR="005136F0">
        <w:rPr>
          <w:lang w:val="de-DE"/>
        </w:rPr>
        <w:t>abweichung</w:t>
      </w:r>
      <w:proofErr w:type="spellEnd"/>
      <w:r w:rsidR="005136F0">
        <w:rPr>
          <w:lang w:val="de-DE"/>
        </w:rPr>
        <w:t xml:space="preserve"> von 6,1 % </w:t>
      </w:r>
      <w:r>
        <w:rPr>
          <w:lang w:val="de-DE"/>
        </w:rPr>
        <w:t>dort besser ab</w:t>
      </w:r>
      <w:r w:rsidR="005136F0">
        <w:rPr>
          <w:lang w:val="de-DE"/>
        </w:rPr>
        <w:t xml:space="preserve"> als MAE mit 6,5 %</w:t>
      </w:r>
      <w:r>
        <w:rPr>
          <w:lang w:val="de-DE"/>
        </w:rPr>
        <w:t>.</w:t>
      </w:r>
      <w:r w:rsidR="002C07CF">
        <w:rPr>
          <w:lang w:val="de-DE"/>
        </w:rPr>
        <w:t xml:space="preserve"> Die spiegelt sich auch </w:t>
      </w:r>
      <w:proofErr w:type="gramStart"/>
      <w:r w:rsidR="002C07CF">
        <w:rPr>
          <w:lang w:val="de-DE"/>
        </w:rPr>
        <w:t>wieder</w:t>
      </w:r>
      <w:proofErr w:type="gramEnd"/>
      <w:r w:rsidR="002C07CF">
        <w:rPr>
          <w:lang w:val="de-DE"/>
        </w:rPr>
        <w:t xml:space="preserve"> in der Zeitverschiebung der Maximalwerte.</w:t>
      </w:r>
    </w:p>
    <w:p w14:paraId="581A08A9" w14:textId="4F6346D9" w:rsidR="00B079D0" w:rsidRDefault="00B079D0" w:rsidP="00184E11">
      <w:pPr>
        <w:rPr>
          <w:lang w:val="de-DE"/>
        </w:rPr>
      </w:pPr>
      <w:r>
        <w:rPr>
          <w:noProof/>
        </w:rPr>
        <w:drawing>
          <wp:inline distT="0" distB="0" distL="0" distR="0" wp14:anchorId="2EA1DAC2" wp14:editId="34215E68">
            <wp:extent cx="4473245" cy="1168113"/>
            <wp:effectExtent l="0" t="0" r="3810" b="0"/>
            <wp:docPr id="148297175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71755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723" cy="11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305C" w14:textId="37261556" w:rsidR="006B637E" w:rsidRDefault="006B637E" w:rsidP="00184E11">
      <w:pPr>
        <w:rPr>
          <w:lang w:val="de-DE"/>
        </w:rPr>
      </w:pPr>
      <w:r>
        <w:rPr>
          <w:lang w:val="de-DE"/>
        </w:rPr>
        <w:t xml:space="preserve">Zusammengefasst ist der MSE zuverlässiger im Training, wobei das beste </w:t>
      </w:r>
      <w:proofErr w:type="spellStart"/>
      <w:r>
        <w:rPr>
          <w:lang w:val="de-DE"/>
        </w:rPr>
        <w:t>modell</w:t>
      </w:r>
      <w:proofErr w:type="spellEnd"/>
      <w:r>
        <w:rPr>
          <w:lang w:val="de-DE"/>
        </w:rPr>
        <w:t xml:space="preserve"> des MAE leicht besser allgemein abschnitt. Bei hohen und den Maximalwerten hingegen steht der MSE besser dar.</w:t>
      </w:r>
    </w:p>
    <w:p w14:paraId="454A0BF6" w14:textId="7F2F7B3E" w:rsidR="009C7D89" w:rsidRPr="002E0829" w:rsidRDefault="009C7D89" w:rsidP="00184E11">
      <w:pPr>
        <w:rPr>
          <w:lang w:val="de-DE"/>
        </w:rPr>
      </w:pPr>
      <w:r>
        <w:rPr>
          <w:lang w:val="de-DE"/>
        </w:rPr>
        <w:t>Da die jeweils besten Modelle recht ähnlich abschneiden, jedoch der MSE deutlich zuverlässiger bei der Kreuzvalidierung ist, wird dieser für weitere Modelle verwendet.</w:t>
      </w:r>
    </w:p>
    <w:sectPr w:rsidR="009C7D89" w:rsidRPr="002E08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D345A"/>
    <w:multiLevelType w:val="hybridMultilevel"/>
    <w:tmpl w:val="DA385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8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93"/>
    <w:rsid w:val="00035FB7"/>
    <w:rsid w:val="000712FE"/>
    <w:rsid w:val="000A7979"/>
    <w:rsid w:val="00184E11"/>
    <w:rsid w:val="00245225"/>
    <w:rsid w:val="002C07CF"/>
    <w:rsid w:val="002E0829"/>
    <w:rsid w:val="003D0B93"/>
    <w:rsid w:val="004540FD"/>
    <w:rsid w:val="005136F0"/>
    <w:rsid w:val="00527A57"/>
    <w:rsid w:val="00550259"/>
    <w:rsid w:val="00616BE9"/>
    <w:rsid w:val="00667324"/>
    <w:rsid w:val="00683ACA"/>
    <w:rsid w:val="006B637E"/>
    <w:rsid w:val="0079260D"/>
    <w:rsid w:val="007A359C"/>
    <w:rsid w:val="00813EFC"/>
    <w:rsid w:val="00894B06"/>
    <w:rsid w:val="008E4A86"/>
    <w:rsid w:val="008E6D0D"/>
    <w:rsid w:val="008E6D22"/>
    <w:rsid w:val="00966443"/>
    <w:rsid w:val="009C7D89"/>
    <w:rsid w:val="00B079D0"/>
    <w:rsid w:val="00B30CF2"/>
    <w:rsid w:val="00B36CBA"/>
    <w:rsid w:val="00C96D64"/>
    <w:rsid w:val="00EA205A"/>
    <w:rsid w:val="00EB589B"/>
    <w:rsid w:val="00FC6F93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0513"/>
  <w15:chartTrackingRefBased/>
  <w15:docId w15:val="{57F8AB58-BBDB-4722-8819-3FC44AF3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0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0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0B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0B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0B9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0B9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0B93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0B9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0B93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0B9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0B93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D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0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0B9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D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0B93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3D0B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0B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0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0B93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3D0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Albers</dc:creator>
  <cp:keywords/>
  <dc:description/>
  <cp:lastModifiedBy>Flemming Albers</cp:lastModifiedBy>
  <cp:revision>28</cp:revision>
  <dcterms:created xsi:type="dcterms:W3CDTF">2024-05-03T18:31:00Z</dcterms:created>
  <dcterms:modified xsi:type="dcterms:W3CDTF">2024-05-15T10:12:00Z</dcterms:modified>
</cp:coreProperties>
</file>