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для гальванического цеха</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для гальванического цеха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для гальванического цеха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для гальванического цеха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очистку объекта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разводить открытый огонь (костры) в местах, находящихся за территорией частных домовладений, на расстоянии менее 50 метров от объектов защиты.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2.6. На объектах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глухие решетки на окнах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нормативных документах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 снимать предусмотренные проектной документацией двери эвакуационных выходов из поэтажных коридоров, холлов, фойе, вестибюлей, тамбуров, тамбур-шлюзов и лестничных клеток, а также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е) проводить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противодымной защиты, оповещения и управления эвакуацией людей при пожаре,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мебель, оборудование и другие предметы на путях эвакуации, у дверей эвакуационных выходов, люков на балконах и лоджиях, в переходах между секциями и местах выходов на наружные эвакуационные лестницы, кровлю, покрытие, а также демонтировать межбалконные лестницы, заваривать люки на балконах и лоджиях квартир;</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 (костры, газовые горелки, паяльные лампы, примусы, факелы, свечи);</w:t>
      </w:r>
    </w:p>
    <w:p>
      <w:pPr>
        <w:spacing w:line="240" w:lineRule="auto"/>
        <w:rPr>
          <w:rFonts w:hAnsi="Times New Roman" w:cs="Times New Roman"/>
          <w:color w:val="000000"/>
          <w:sz w:val="24"/>
          <w:szCs w:val="24"/>
        </w:rPr>
      </w:pPr>
      <w:r>
        <w:rPr>
          <w:rFonts w:hAnsi="Times New Roman" w:cs="Times New Roman"/>
          <w:color w:val="000000"/>
          <w:sz w:val="24"/>
          <w:szCs w:val="24"/>
        </w:rPr>
        <w:t>и) закрывать жалюзи, остеклять балконы (открытые переходы наружных воздушных зон), лоджии и галереи, ведущие к незадымляемым лестничным клеткам;</w:t>
      </w:r>
    </w:p>
    <w:p>
      <w:pPr>
        <w:spacing w:line="240" w:lineRule="auto"/>
        <w:rPr>
          <w:rFonts w:hAnsi="Times New Roman" w:cs="Times New Roman"/>
          <w:color w:val="000000"/>
          <w:sz w:val="24"/>
          <w:szCs w:val="24"/>
        </w:rPr>
      </w:pPr>
      <w:r>
        <w:rPr>
          <w:rFonts w:hAnsi="Times New Roman" w:cs="Times New Roman"/>
          <w:color w:val="000000"/>
          <w:sz w:val="24"/>
          <w:szCs w:val="24"/>
        </w:rPr>
        <w:t>к) устраивать на лестничных клетках кладовые и другие подсобные помещения, а также хранить под лестничными маршами и на лестничных площадках вещи, мебель, оборудование 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л)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м) 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spacing w:line="240" w:lineRule="auto"/>
        <w:rPr>
          <w:rFonts w:hAnsi="Times New Roman" w:cs="Times New Roman"/>
          <w:color w:val="000000"/>
          <w:sz w:val="24"/>
          <w:szCs w:val="24"/>
        </w:rPr>
      </w:pPr>
      <w:r>
        <w:rPr>
          <w:rFonts w:hAnsi="Times New Roman" w:cs="Times New Roman"/>
          <w:color w:val="000000"/>
          <w:sz w:val="24"/>
          <w:szCs w:val="24"/>
        </w:rPr>
        <w:t>н) эксплуатировать после изменения класса функциональной пожарной опасности здания, сооружения, пожарные отсеки и части здания, а также помещения, не отвечающие нормативным документам по пожарной безопасности в соответствии с новым классом функциональной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2.7. Приямки у оконных проемов подвальных и цокольных этажей зданий (сооружений) должны очищаться от мусора и посторонних предметов. Периодичность очистки ___________________________. Ответственные за организацию работ __________________________________________________________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2.8. При эксплуатации эвакуационных путей и выходов должно обеспечиваться соблюдение проектных решений.</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2.10.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на эвакуационных люках) различные изделия, оборудование, отходы, мусор и другие предметы, препятствующие безопасной эвакуации,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w:t>
      </w:r>
    </w:p>
    <w:p>
      <w:pPr>
        <w:spacing w:line="240" w:lineRule="auto"/>
        <w:rPr>
          <w:rFonts w:hAnsi="Times New Roman" w:cs="Times New Roman"/>
          <w:color w:val="000000"/>
          <w:sz w:val="24"/>
          <w:szCs w:val="24"/>
        </w:rPr>
      </w:pPr>
      <w:r>
        <w:rPr>
          <w:rFonts w:hAnsi="Times New Roman" w:cs="Times New Roman"/>
          <w:color w:val="000000"/>
          <w:sz w:val="24"/>
          <w:szCs w:val="24"/>
        </w:rPr>
        <w:t>2.11. Запоры на дверях эвакуационных выходов должны обеспечивать возможность их свободного открывания изнутри без ключа, за исключением случаев, устанавливаемых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2.12.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обертывать электролампы и светильники бумагой, тканью и другими горючими материалами, а также эксплуатировать светильники со снятыми колпаками (рассеивателями), предусмотренными конструкцией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электроутюгами, электроплитками, электрочайниками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применять нестандартные (самодельные) электронагревательные приборы и использовать несертифицированные аппараты защиты электрических цепей;</w:t>
      </w:r>
    </w:p>
    <w:p>
      <w:pPr>
        <w:spacing w:line="240" w:lineRule="auto"/>
        <w:rPr>
          <w:rFonts w:hAnsi="Times New Roman" w:cs="Times New Roman"/>
          <w:color w:val="000000"/>
          <w:sz w:val="24"/>
          <w:szCs w:val="24"/>
        </w:rPr>
      </w:pPr>
      <w:r>
        <w:rPr>
          <w:rFonts w:hAnsi="Times New Roman" w:cs="Times New Roman"/>
          <w:color w:val="000000"/>
          <w:sz w:val="24"/>
          <w:szCs w:val="24"/>
        </w:rPr>
        <w:t>е) оставлять без присмотра включенные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(складировать) в электрощитовых (у электрощитов), у электродвигателей и пусковой аппаратуры горючие (в том числе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з)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2.15.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установленных законом случаев.</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2.18.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2.20.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2.21.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2.22.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2.23.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2.24.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6 метров.</w:t>
      </w:r>
    </w:p>
    <w:p>
      <w:pPr>
        <w:spacing w:line="240" w:lineRule="auto"/>
        <w:rPr>
          <w:rFonts w:hAnsi="Times New Roman" w:cs="Times New Roman"/>
          <w:color w:val="000000"/>
          <w:sz w:val="24"/>
          <w:szCs w:val="24"/>
        </w:rPr>
      </w:pPr>
      <w:r>
        <w:rPr>
          <w:rFonts w:hAnsi="Times New Roman" w:cs="Times New Roman"/>
          <w:color w:val="000000"/>
          <w:sz w:val="24"/>
          <w:szCs w:val="24"/>
        </w:rPr>
        <w:t>2.25. В соответствии с инструкцией завода-изготовителя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вентиляции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2.26.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2.27.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2.28.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w:t>
      </w:r>
    </w:p>
    <w:p>
      <w:pPr>
        <w:spacing w:line="240" w:lineRule="auto"/>
        <w:rPr>
          <w:rFonts w:hAnsi="Times New Roman" w:cs="Times New Roman"/>
          <w:color w:val="000000"/>
          <w:sz w:val="24"/>
          <w:szCs w:val="24"/>
        </w:rPr>
      </w:pPr>
      <w:r>
        <w:rPr>
          <w:rFonts w:hAnsi="Times New Roman" w:cs="Times New Roman"/>
          <w:color w:val="000000"/>
          <w:sz w:val="24"/>
          <w:szCs w:val="24"/>
        </w:rPr>
        <w:t>3.14.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временных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необходимо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проведения огневых работ огнетушителем в соответствии с приложением N 1 к Правилам о противопожарном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за состоянием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935b6bd0cfd4e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