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для убойного цеха свинины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использовать для проживания людей производственные здания,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2.7.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2.8.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2.9.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2.12.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2.16. Руководитель организации обеспечивает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2.17.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3.11.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убойного цеха,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б) в местах установки ацетиленового генератора вывешиваются плакаты "Вход посторонним воспрещен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spacing w:line="240" w:lineRule="auto"/>
        <w:rPr>
          <w:rFonts w:hAnsi="Times New Roman" w:cs="Times New Roman"/>
          <w:color w:val="000000"/>
          <w:sz w:val="24"/>
          <w:szCs w:val="24"/>
        </w:rPr>
      </w:pPr>
      <w:r>
        <w:rPr>
          <w:rFonts w:hAnsi="Times New Roman" w:cs="Times New Roman"/>
          <w:color w:val="000000"/>
          <w:sz w:val="24"/>
          <w:szCs w:val="24"/>
        </w:rPr>
        <w:t>д) закрепление газоподводящих шлангов на присоединительных ниппелях аппаратуры, горелок, резаков и редукторов должно быть надежно. На ниппели водяных затворов шланги плотно надеваются, но не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з) вскрытые барабаны с карбидом кальция следует защищать непроницаемыми для воды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spacing w:line="240" w:lineRule="auto"/>
        <w:rPr>
          <w:rFonts w:hAnsi="Times New Roman" w:cs="Times New Roman"/>
          <w:color w:val="000000"/>
          <w:sz w:val="24"/>
          <w:szCs w:val="24"/>
        </w:rPr>
      </w:pPr>
      <w:r>
        <w:rPr>
          <w:rFonts w:hAnsi="Times New Roman" w:cs="Times New Roman"/>
          <w:color w:val="000000"/>
          <w:sz w:val="24"/>
          <w:szCs w:val="24"/>
        </w:rPr>
        <w:t>л) запрещается хранение в одном помещении кислородных баллонов и баллонов с горючими газами, а также карбида кальция, красок,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н) запрещается курение и применение открытого огня в радиусе 10 метров от мест хранения ила, рядом с которыми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 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14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14.3.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14.4.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14.5.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7e34b5cb3df41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