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досмотрового комплекса причала для судов типа Ро-Ро</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досмотрового комплекса причала для судов типа Ро-Ро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досмотрового комплекса причала для судов типа Ро-Ро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досмотрового комплекса причала для судов типа Ро-Ро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досмотрового комплекса причала для судов типа Ро-Ро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2.4.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2.5.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устраивать в складских и производственных помещениях зданий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хранить и применять на чердаках, в подвалах и цокольных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и другие пожаровзрывоопасные вещества и материалы, кроме случаев, предусмотренных нормативными документами по пожарной безопасности в сфере технического регулирования.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использовать чердаки, технические этажи,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2.11.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2.14. Запоры на дверях эвакуационных выходов должны обеспечивать возможность их свободного открывания изнутри без ключа, за исключением случаев, устанавливаемых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2.15.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2.18. Перевод установок пожарной автоматики с автоматического пуска на ручной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2.19 При приеме у причалов накатных судов (типа Ро-Ро) опускание аппарели на причал допускается только в местах, специально для этого предназначенных и снабженных соответствующими надписями. Габариты зоны укладки аппарели должны быть обозначены на причале четкими линиями краской или другим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2.20 Суда с носовыми бульбами должны подходить к причалам при условии соблюдения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суда, не имеющие штатных подруливающих устройств, должны подводиться к причалу с помощью буксиров;</w:t>
      </w:r>
    </w:p>
    <w:p>
      <w:pPr>
        <w:spacing w:line="240" w:lineRule="auto"/>
        <w:rPr>
          <w:rFonts w:hAnsi="Times New Roman" w:cs="Times New Roman"/>
          <w:color w:val="000000"/>
          <w:sz w:val="24"/>
          <w:szCs w:val="24"/>
        </w:rPr>
      </w:pPr>
      <w:r>
        <w:rPr>
          <w:rFonts w:hAnsi="Times New Roman" w:cs="Times New Roman"/>
          <w:color w:val="000000"/>
          <w:sz w:val="24"/>
          <w:szCs w:val="24"/>
        </w:rPr>
        <w:t>- при касании причала корпусом судна должно быть исключено соприкосновение бульбы с причалом.</w:t>
      </w:r>
    </w:p>
    <w:p>
      <w:pPr>
        <w:spacing w:line="240" w:lineRule="auto"/>
        <w:rPr>
          <w:rFonts w:hAnsi="Times New Roman" w:cs="Times New Roman"/>
          <w:color w:val="000000"/>
          <w:sz w:val="24"/>
          <w:szCs w:val="24"/>
        </w:rPr>
      </w:pPr>
      <w:r>
        <w:rPr>
          <w:rFonts w:hAnsi="Times New Roman" w:cs="Times New Roman"/>
          <w:color w:val="000000"/>
          <w:sz w:val="24"/>
          <w:szCs w:val="24"/>
        </w:rPr>
        <w:t>2.21 Швартовка судов должна производиться швартовными канатами только за швартовные устройства. На швартовные устройства разрешается подавать только швартовные канаты, разрывные усилия которых не превышают допускаемые для данного класса судов. Запрещается подача на швартовные устройства якорных цепей.</w:t>
      </w:r>
    </w:p>
    <w:p>
      <w:pPr>
        <w:spacing w:line="240" w:lineRule="auto"/>
        <w:rPr>
          <w:rFonts w:hAnsi="Times New Roman" w:cs="Times New Roman"/>
          <w:color w:val="000000"/>
          <w:sz w:val="24"/>
          <w:szCs w:val="24"/>
        </w:rPr>
      </w:pPr>
      <w:r>
        <w:rPr>
          <w:rFonts w:hAnsi="Times New Roman" w:cs="Times New Roman"/>
          <w:color w:val="000000"/>
          <w:sz w:val="24"/>
          <w:szCs w:val="24"/>
        </w:rPr>
        <w:t>Швартовка судов после получения штормового предупреждения должна производиться за штормовые швартовные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Швартовка за отбойные устройства, а также за какие-либо части сооружения, не предназначенные специально для швартовки,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2.22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2.31. В соответствии с инструкцией завода-изготовителя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вентиляции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2.32. Руководитель организации определяет порядок и сроки проведения работ по очистке вентиляционных камер, циклонов, фильтров и воздуховодов от горючих отходов с составлением соответствующего акта, при этом такие работы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2.33.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3.8.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3.9.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досмотрового комплекса причала для судов типа Ро-Ро.</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12.1.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32bf21c6a0848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