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в административном здании, помещениях»</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в административном здании, помещениях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в административном здании, помещениях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в административном здании, помещениях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территории, зданий (здания) и помещений, в том числе эвакуационных выходов и путей эвакуации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2.3. При эксплуатации эвакуационных путей и выходов руководитель организации обеспечивает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 в соответствии с требованиями части 4 статьи 4 Федерального закона "Технический регламент о требованиях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2.4.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2.5.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2.6. При расстановке в помещениях технологического, выставочного и другого оборудования обеспечивает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2.7.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2.8.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2.9. Перевод установок с автоматического пуска на ручной запрещается, за исключением случаев, предусмотренных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2.10.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2.11. Расстояние от светильников до хранящихся материалов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2.12. Не допускается сжигать отходы и тару, разводить костры в местах, находящихся на расстоянии менее 50 метров от здания.</w:t>
      </w:r>
    </w:p>
    <w:p>
      <w:pPr>
        <w:spacing w:line="240" w:lineRule="auto"/>
        <w:rPr>
          <w:rFonts w:hAnsi="Times New Roman" w:cs="Times New Roman"/>
          <w:color w:val="000000"/>
          <w:sz w:val="24"/>
          <w:szCs w:val="24"/>
        </w:rPr>
      </w:pPr>
      <w:r>
        <w:rPr>
          <w:rFonts w:hAnsi="Times New Roman" w:cs="Times New Roman"/>
          <w:color w:val="000000"/>
          <w:sz w:val="24"/>
          <w:szCs w:val="24"/>
        </w:rPr>
        <w:t>2.13. Запрещается использовать для стоянки автомобилей (частных автомобилей и автомобилей организаций)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2.14.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2.15. Руководитель организации обеспечивает очистку объекта защиты и прилегающей к нему территории, в том числе в пределах противопожарных расстояний между объектами 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2.16. Руководители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а) обеспечивают содержание наружных пожарных лестниц, наружных открытых лестниц, предназначенных для эвакуации людей из зданий и сооружений при пожаре, а также ограждений на крышах (покрытиях) зданий и сооружений в исправном состоянии, их очистку от снега и наледи в зимнее время;</w:t>
      </w:r>
    </w:p>
    <w:p>
      <w:pPr>
        <w:spacing w:line="240" w:lineRule="auto"/>
        <w:rPr>
          <w:rFonts w:hAnsi="Times New Roman" w:cs="Times New Roman"/>
          <w:color w:val="000000"/>
          <w:sz w:val="24"/>
          <w:szCs w:val="24"/>
        </w:rPr>
      </w:pPr>
      <w:r>
        <w:rPr>
          <w:rFonts w:hAnsi="Times New Roman" w:cs="Times New Roman"/>
          <w:color w:val="000000"/>
          <w:sz w:val="24"/>
          <w:szCs w:val="24"/>
        </w:rPr>
        <w:t>б) организуют не реже 1 раза в 5 лет проведение эксплуатационных испытаний пожарных лестниц, наружных открытых лестниц, предназначенных для эвакуации людей из зданий и сооружений при пожаре, ограждений на крышах с составлением соответствующего протокола испытаний и внесением информации в журнал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2.17. В период со дня схода снежного покрова до установления устойчивой дождливой осенней погоды или образования снежного покрова органы государственной власти, органы местного самоуправления, учреждения, организации, иные юридические лица независимо от их организационно-правовых форм и форм собственности, крестьянские (фермерские) хозяйства, общественные объединения, индивидуальные предприниматели, должностные лица, граждане Российской Федерации, иностранные граждане, лица без гражданства, владеющие, пользующиеся и (или) распоряжающиеся территорией, прилегающей к лесу, обеспечивают ее очистку от сухой травянистой растительности, пожнивных остатков, валежника, порубочных остатков, мусора и других горючих материалов на полосе шириной не менее 10 метров от леса либо отделяют лес противопожарной минерализованной полосой шириной не менее 0,5 метра или иным противопожарным барьером.</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3.8.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Кратность воздухообмена для безопасного ведения работ в указанных помещениях определяется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в помещения, в которых применяются горючие вещества, лиц, не участвующих в непосредственном выполнении работ, а также производить работы и находиться людям в смежных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3.9.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7.1. В помещениях допускается хранение пожароопасных веществ и материалов в количествах, определенных проектной документацией и расчетами.</w:t>
      </w:r>
    </w:p>
    <w:p>
      <w:pPr>
        <w:spacing w:line="240" w:lineRule="auto"/>
        <w:rPr>
          <w:rFonts w:hAnsi="Times New Roman" w:cs="Times New Roman"/>
          <w:color w:val="000000"/>
          <w:sz w:val="24"/>
          <w:szCs w:val="24"/>
        </w:rPr>
      </w:pPr>
      <w:r>
        <w:rPr>
          <w:rFonts w:hAnsi="Times New Roman" w:cs="Times New Roman"/>
          <w:color w:val="000000"/>
          <w:sz w:val="24"/>
          <w:szCs w:val="24"/>
        </w:rPr>
        <w:t>Контроль осуществляют _____________________________________________ (ФИО, должность).</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8.1.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8.2.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8.3.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8.4.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8.5. В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8.6.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8.7.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9.1. В настоящую инструкцию необходимо внести сведения о допустимом (предельном) количестве людей, которые могут одновременно находиться в помещениях, зданиях и сооружениях (данная информация указана в проектной документации в отношении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10.1.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10.2.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Лица, ответственные за обеспечение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11.1. Ответственные за пожарную безопасность зданий сооружений, помещений (указывается должность, ФИО) отвечают за:</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и оформление противопожарных инструктажей (к примеру, первичный, повторный, внеплановый, целевой инструктажи) с работниками структурного подразделения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и подготовку проектов локальных нормативных актов организации в области пожарной безопасности для структурного подразделения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Периодические осмотры путей эвакуации, эвакуационных и аварийных выходов в помещениях структурного подразделения (не менее 3 раз в день);</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Своевременное информирование руководителя и ответственного за ПБ в организации о выявленных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Пресечение нарушений требований пожарной безопасности, допускаемых работниками (курение в неустановленных местах, использование открытого огня, захламление путей эвакуации и т.п.) в помещениях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 Осмотр и закрытие помещений структурного подразделения после окончания рабочего дня (закрытие окон и дверей, обесточивание электрооборудования, выключение вентиляции и т.п.);</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хранения и транспортировки пожаровзрывоопасных веществ и пожароопасных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и контроль за порядком курения, применения открытого огня, проезда транспорта и проведения огневых или иных пожароопасных работ, в том числе временных;</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допустимого количество единовременно находящихся в помещениях сырья, 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и периодичности уборки горючих отходов и пыли, хранения промасленной спецодежды.</w:t>
      </w:r>
    </w:p>
    <w:p>
      <w:pPr>
        <w:spacing w:line="240" w:lineRule="auto"/>
        <w:rPr>
          <w:rFonts w:hAnsi="Times New Roman" w:cs="Times New Roman"/>
          <w:color w:val="000000"/>
          <w:sz w:val="24"/>
          <w:szCs w:val="24"/>
        </w:rPr>
      </w:pPr>
      <w:r>
        <w:rPr>
          <w:rFonts w:hAnsi="Times New Roman" w:cs="Times New Roman"/>
          <w:b/>
          <w:bCs/>
          <w:color w:val="000000"/>
          <w:sz w:val="24"/>
          <w:szCs w:val="24"/>
        </w:rPr>
        <w:t>12. Предельные показания контрольно-измерительных приборов (манометры, термометры и др.), отклонения от которых могут вызвать пожар или взрыв</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b/>
                <w:bCs/>
                <w:color w:val="000000"/>
                <w:sz w:val="24"/>
                <w:szCs w:val="24"/>
              </w:rPr>
              <w:t>№</w:t>
            </w:r>
            <w:r>
              <w:br/>
            </w:r>
            <w:r>
              <w:rPr>
                <w:rFonts w:hAnsi="Times New Roman" w:cs="Times New Roman"/>
                <w:b/>
                <w:bCs/>
                <w:color w:val="000000"/>
                <w:sz w:val="24"/>
                <w:szCs w:val="24"/>
              </w:rPr>
              <w:t>п/п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b/>
                <w:bCs/>
                <w:color w:val="000000"/>
                <w:sz w:val="24"/>
                <w:szCs w:val="24"/>
              </w:rPr>
              <w:t>Наименование, марка, тип, заводской номер КИП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b/>
                <w:bCs/>
                <w:color w:val="000000"/>
                <w:sz w:val="24"/>
                <w:szCs w:val="24"/>
              </w:rPr>
              <w:t>Указание предельных</w:t>
            </w:r>
            <w:r>
              <w:br/>
            </w:r>
            <w:r>
              <w:rPr>
                <w:rFonts w:hAnsi="Times New Roman" w:cs="Times New Roman"/>
                <w:b/>
                <w:bCs/>
                <w:color w:val="000000"/>
                <w:sz w:val="24"/>
                <w:szCs w:val="24"/>
              </w:rPr>
              <w:t>показаний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Термометр «Марсель» стеклянный, спиртовой</w:t>
            </w:r>
            <w:r>
              <w:br/>
            </w:r>
            <w:r>
              <w:rPr>
                <w:rFonts w:hAnsi="Times New Roman" w:cs="Times New Roman"/>
                <w:color w:val="000000"/>
                <w:sz w:val="24"/>
                <w:szCs w:val="24"/>
              </w:rPr>
              <w:t>BH345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 xml:space="preserve">50 </w:t>
            </w:r>
            <w:r>
              <w:rPr>
                <w:rFonts w:hAnsi="Times New Roman" w:cs="Times New Roman"/>
                <w:color w:val="000000"/>
                <w:sz w:val="19"/>
                <w:szCs w:val="19"/>
                <w:vertAlign w:val="superscript"/>
              </w:rPr>
              <w:t>0</w:t>
            </w:r>
            <w:r>
              <w:rPr>
                <w:rFonts w:hAnsi="Times New Roman" w:cs="Times New Roman"/>
                <w:color w:val="000000"/>
                <w:sz w:val="24"/>
                <w:szCs w:val="24"/>
              </w:rPr>
              <w:t>С</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Термометр «XCV» стеклянный, ртутный BH34п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 xml:space="preserve">38 </w:t>
            </w:r>
            <w:r>
              <w:rPr>
                <w:rFonts w:hAnsi="Times New Roman" w:cs="Times New Roman"/>
                <w:color w:val="000000"/>
                <w:sz w:val="19"/>
                <w:szCs w:val="19"/>
                <w:vertAlign w:val="superscript"/>
              </w:rPr>
              <w:t>0</w:t>
            </w:r>
            <w:r>
              <w:rPr>
                <w:rFonts w:hAnsi="Times New Roman" w:cs="Times New Roman"/>
                <w:color w:val="000000"/>
                <w:sz w:val="24"/>
                <w:szCs w:val="24"/>
              </w:rPr>
              <w:t>С</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29c42b750a441c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