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о мерах пожарной безопасности в локомотивном депо</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в локомотивном депо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в локомотивном депо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в локомотивном депо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2.3.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2.4.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w:t>
      </w:r>
      <w:r>
        <w:rPr>
          <w:rFonts w:hAnsi="Times New Roman" w:cs="Times New Roman"/>
          <w:color w:val="000000"/>
          <w:sz w:val="24"/>
          <w:szCs w:val="24"/>
        </w:rPr>
        <w:t>части 4</w:t>
      </w:r>
      <w:r>
        <w:rPr>
          <w:rFonts w:hAnsi="Times New Roman" w:cs="Times New Roman"/>
          <w:color w:val="000000"/>
          <w:sz w:val="24"/>
          <w:szCs w:val="24"/>
        </w:rPr>
        <w:t xml:space="preserve"> статьи 4 Федерального закона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использовать для проживания людей производственные здания,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2.7.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2.8.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2.9.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2.10.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2.12.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2.13.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2.14.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2.15. Руководитель организации обеспечивает при работе с пожароопасными и пожаровзрывоопасными веществами и материалами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2.16. Руководитель организации обеспечивает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2.17.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х 1 миллиметр.</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3.11.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3.12.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локомотивного депо,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газосварочных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переносные ацетиленовые генераторы следует устанавливать на открытых площадках. Ацетиленовые генераторы необходимо ограждать и размещать не ближе 10 метров от мест проведения работ, а также от мест забора воздуха компрессорами и вентиляторами;</w:t>
      </w:r>
    </w:p>
    <w:p>
      <w:pPr>
        <w:spacing w:line="240" w:lineRule="auto"/>
        <w:rPr>
          <w:rFonts w:hAnsi="Times New Roman" w:cs="Times New Roman"/>
          <w:color w:val="000000"/>
          <w:sz w:val="24"/>
          <w:szCs w:val="24"/>
        </w:rPr>
      </w:pPr>
      <w:r>
        <w:rPr>
          <w:rFonts w:hAnsi="Times New Roman" w:cs="Times New Roman"/>
          <w:color w:val="000000"/>
          <w:sz w:val="24"/>
          <w:szCs w:val="24"/>
        </w:rPr>
        <w:t>б) в местах установки ацетиленового генератора вывешиваются плакаты "Вход посторонним воспрещен - огнеопасно", "Не курить", "Не проходить с огнем";</w:t>
      </w:r>
    </w:p>
    <w:p>
      <w:pPr>
        <w:spacing w:line="240" w:lineRule="auto"/>
        <w:rPr>
          <w:rFonts w:hAnsi="Times New Roman" w:cs="Times New Roman"/>
          <w:color w:val="000000"/>
          <w:sz w:val="24"/>
          <w:szCs w:val="24"/>
        </w:rPr>
      </w:pPr>
      <w:r>
        <w:rPr>
          <w:rFonts w:hAnsi="Times New Roman" w:cs="Times New Roman"/>
          <w:color w:val="000000"/>
          <w:sz w:val="24"/>
          <w:szCs w:val="24"/>
        </w:rPr>
        <w:t>в) по окончании работы карбид кальция в переносном генераторе должен быть выработан. Известковый ил, удаляемый из генератора, выгружается в приспособленную для этих целей тару и сливается в иловую яму или специальный бункер;</w:t>
      </w:r>
    </w:p>
    <w:p>
      <w:pPr>
        <w:spacing w:line="240" w:lineRule="auto"/>
        <w:rPr>
          <w:rFonts w:hAnsi="Times New Roman" w:cs="Times New Roman"/>
          <w:color w:val="000000"/>
          <w:sz w:val="24"/>
          <w:szCs w:val="24"/>
        </w:rPr>
      </w:pPr>
      <w:r>
        <w:rPr>
          <w:rFonts w:hAnsi="Times New Roman" w:cs="Times New Roman"/>
          <w:color w:val="000000"/>
          <w:sz w:val="24"/>
          <w:szCs w:val="24"/>
        </w:rPr>
        <w:t>г) открытые иловые ямы ограждаются перилами, а закрытые имеют негорючие перекрытия и оборудуются вытяжной вентиляцией и люками для удаления ила;</w:t>
      </w:r>
    </w:p>
    <w:p>
      <w:pPr>
        <w:spacing w:line="240" w:lineRule="auto"/>
        <w:rPr>
          <w:rFonts w:hAnsi="Times New Roman" w:cs="Times New Roman"/>
          <w:color w:val="000000"/>
          <w:sz w:val="24"/>
          <w:szCs w:val="24"/>
        </w:rPr>
      </w:pPr>
      <w:r>
        <w:rPr>
          <w:rFonts w:hAnsi="Times New Roman" w:cs="Times New Roman"/>
          <w:color w:val="000000"/>
          <w:sz w:val="24"/>
          <w:szCs w:val="24"/>
        </w:rPr>
        <w:t>д) закрепление газоподводящих шлангов на присоединительных ниппелях аппаратуры, горелок, резаков и редукторов должно быть надежно. На ниппели водяных затворов шланги плотно надеваются, но не закрепляются;</w:t>
      </w:r>
    </w:p>
    <w:p>
      <w:pPr>
        <w:spacing w:line="240" w:lineRule="auto"/>
        <w:rPr>
          <w:rFonts w:hAnsi="Times New Roman" w:cs="Times New Roman"/>
          <w:color w:val="000000"/>
          <w:sz w:val="24"/>
          <w:szCs w:val="24"/>
        </w:rPr>
      </w:pPr>
      <w:r>
        <w:rPr>
          <w:rFonts w:hAnsi="Times New Roman" w:cs="Times New Roman"/>
          <w:color w:val="000000"/>
          <w:sz w:val="24"/>
          <w:szCs w:val="24"/>
        </w:rPr>
        <w:t>е) карбид кальция хранится в сухих проветриваемых помещениях. Запрещается размещать склады карбида кальция в подвальных помещениях и низких затапливаемых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в помещениях ацетиленовых установок, в которых не имеется промежуточного склада карбида кальция, разрешается хранить одновременно не свыше 200 килограммов карбида кальция, причем из этого количества в открытом виде может быть не более 50 килограммов;</w:t>
      </w:r>
    </w:p>
    <w:p>
      <w:pPr>
        <w:spacing w:line="240" w:lineRule="auto"/>
        <w:rPr>
          <w:rFonts w:hAnsi="Times New Roman" w:cs="Times New Roman"/>
          <w:color w:val="000000"/>
          <w:sz w:val="24"/>
          <w:szCs w:val="24"/>
        </w:rPr>
      </w:pPr>
      <w:r>
        <w:rPr>
          <w:rFonts w:hAnsi="Times New Roman" w:cs="Times New Roman"/>
          <w:color w:val="000000"/>
          <w:sz w:val="24"/>
          <w:szCs w:val="24"/>
        </w:rPr>
        <w:t>з) вскрытые барабаны с карбидом кальция следует защищать непроницаемыми для воды крышками;</w:t>
      </w:r>
    </w:p>
    <w:p>
      <w:pPr>
        <w:spacing w:line="240" w:lineRule="auto"/>
        <w:rPr>
          <w:rFonts w:hAnsi="Times New Roman" w:cs="Times New Roman"/>
          <w:color w:val="000000"/>
          <w:sz w:val="24"/>
          <w:szCs w:val="24"/>
        </w:rPr>
      </w:pPr>
      <w:r>
        <w:rPr>
          <w:rFonts w:hAnsi="Times New Roman" w:cs="Times New Roman"/>
          <w:color w:val="000000"/>
          <w:sz w:val="24"/>
          <w:szCs w:val="24"/>
        </w:rPr>
        <w:t>и) запрещается в местах хранения и вскрытия барабанов с карбидом кальция курение, пользование открытым огнем и применение искрообразующего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 хранение и транспортирование баллонов с газами осуществляется только с навинченными на их горловины предохранительными колпаками. К месту сварочных работ баллоны доставляются на специальных тележках, носилках, санках. При транспортировании баллонов не допускаются толчки и удары;</w:t>
      </w:r>
    </w:p>
    <w:p>
      <w:pPr>
        <w:spacing w:line="240" w:lineRule="auto"/>
        <w:rPr>
          <w:rFonts w:hAnsi="Times New Roman" w:cs="Times New Roman"/>
          <w:color w:val="000000"/>
          <w:sz w:val="24"/>
          <w:szCs w:val="24"/>
        </w:rPr>
      </w:pPr>
      <w:r>
        <w:rPr>
          <w:rFonts w:hAnsi="Times New Roman" w:cs="Times New Roman"/>
          <w:color w:val="000000"/>
          <w:sz w:val="24"/>
          <w:szCs w:val="24"/>
        </w:rPr>
        <w:t>л) запрещается хранение в одном помещении кислородных баллонов и баллонов с горючими газами, а также карбида кальция, красок, масел и жиров;</w:t>
      </w:r>
    </w:p>
    <w:p>
      <w:pPr>
        <w:spacing w:line="240" w:lineRule="auto"/>
        <w:rPr>
          <w:rFonts w:hAnsi="Times New Roman" w:cs="Times New Roman"/>
          <w:color w:val="000000"/>
          <w:sz w:val="24"/>
          <w:szCs w:val="24"/>
        </w:rPr>
      </w:pPr>
      <w:r>
        <w:rPr>
          <w:rFonts w:hAnsi="Times New Roman" w:cs="Times New Roman"/>
          <w:color w:val="000000"/>
          <w:sz w:val="24"/>
          <w:szCs w:val="24"/>
        </w:rPr>
        <w:t>м) при обращении с порожними баллонами из-под кислорода или горючих газов соблюдаются такие же меры безопасности, как и с наполненными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н) запрещается курение и применение открытого огня в радиусе 10 метров от мест хранения ила, рядом с которыми вывешиваются соответствующие запрещающие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6.12. При проведении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запрещается использовать провода без изоляции или с поврежденной изоляцией, а также применять нестандартные автоматические выключатели;</w:t>
      </w:r>
    </w:p>
    <w:p>
      <w:pPr>
        <w:spacing w:line="240" w:lineRule="auto"/>
        <w:rPr>
          <w:rFonts w:hAnsi="Times New Roman" w:cs="Times New Roman"/>
          <w:color w:val="000000"/>
          <w:sz w:val="24"/>
          <w:szCs w:val="24"/>
        </w:rPr>
      </w:pPr>
      <w:r>
        <w:rPr>
          <w:rFonts w:hAnsi="Times New Roman" w:cs="Times New Roman"/>
          <w:color w:val="000000"/>
          <w:sz w:val="24"/>
          <w:szCs w:val="24"/>
        </w:rPr>
        <w:t>б) следует соединять сварочные провода при помощи опрессования, сварки, пайки или специальных зажимов. Подключение электропроводов к электрододержателю, свариваемому изделию и сварочному аппарату выполняется при помощи медных кабельных наконечников, скрепленных болтами с шайбами;</w:t>
      </w:r>
    </w:p>
    <w:p>
      <w:pPr>
        <w:spacing w:line="240" w:lineRule="auto"/>
        <w:rPr>
          <w:rFonts w:hAnsi="Times New Roman" w:cs="Times New Roman"/>
          <w:color w:val="000000"/>
          <w:sz w:val="24"/>
          <w:szCs w:val="24"/>
        </w:rPr>
      </w:pPr>
      <w:r>
        <w:rPr>
          <w:rFonts w:hAnsi="Times New Roman" w:cs="Times New Roman"/>
          <w:color w:val="000000"/>
          <w:sz w:val="24"/>
          <w:szCs w:val="24"/>
        </w:rPr>
        <w:t>в) следует надежно изолировать и в необходимых местах защищать от действия высокой температуры, механических повреждений или химических воздействий провода, подключенные к сварочным аппаратам, распределительным щитам и другому оборудованию, а также к местам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 располагать кабели (провода) электросварочных машин от трубопроводов с кислородом на расстоянии не менее 0,5 метра, а от трубопроводов и баллонов с ацетиленом и других горючих газов -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д) в качестве обратного проводника, соединяющего свариваемое изделие с источником тока, могут использоваться стальные или алюминиевые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тока. Соединение между собой отдельных элементов, используемых в качестве обратного проводника, должно выполняться с помощью болтов, струбцин или зажимов;</w:t>
      </w:r>
    </w:p>
    <w:p>
      <w:pPr>
        <w:spacing w:line="240" w:lineRule="auto"/>
        <w:rPr>
          <w:rFonts w:hAnsi="Times New Roman" w:cs="Times New Roman"/>
          <w:color w:val="000000"/>
          <w:sz w:val="24"/>
          <w:szCs w:val="24"/>
        </w:rPr>
      </w:pPr>
      <w:r>
        <w:rPr>
          <w:rFonts w:hAnsi="Times New Roman" w:cs="Times New Roman"/>
          <w:color w:val="000000"/>
          <w:sz w:val="24"/>
          <w:szCs w:val="24"/>
        </w:rPr>
        <w:t>е) запрещается использование в качестве обратного проводника внутренних железнодорожных путей, сети заземления или зануления, а также металлических конструкций зданий, коммуникаций и технологического оборудования. В этих случаях сварка производится с применением 2 проводов;</w:t>
      </w:r>
    </w:p>
    <w:p>
      <w:pPr>
        <w:spacing w:line="240" w:lineRule="auto"/>
        <w:rPr>
          <w:rFonts w:hAnsi="Times New Roman" w:cs="Times New Roman"/>
          <w:color w:val="000000"/>
          <w:sz w:val="24"/>
          <w:szCs w:val="24"/>
        </w:rPr>
      </w:pPr>
      <w:r>
        <w:rPr>
          <w:rFonts w:hAnsi="Times New Roman" w:cs="Times New Roman"/>
          <w:color w:val="000000"/>
          <w:sz w:val="24"/>
          <w:szCs w:val="24"/>
        </w:rPr>
        <w:t>ж) в пожаровзрывоопасных и пожароопасных помещениях обратный проводник от свариваемого изделия до источника тока выполняется только изолированным проводом, причем по качеству изоляции он не должен уступать прямому проводнику, присоединяемому к электрододержателю;</w:t>
      </w:r>
    </w:p>
    <w:p>
      <w:pPr>
        <w:spacing w:line="240" w:lineRule="auto"/>
        <w:rPr>
          <w:rFonts w:hAnsi="Times New Roman" w:cs="Times New Roman"/>
          <w:color w:val="000000"/>
          <w:sz w:val="24"/>
          <w:szCs w:val="24"/>
        </w:rPr>
      </w:pPr>
      <w:r>
        <w:rPr>
          <w:rFonts w:hAnsi="Times New Roman" w:cs="Times New Roman"/>
          <w:color w:val="000000"/>
          <w:sz w:val="24"/>
          <w:szCs w:val="24"/>
        </w:rPr>
        <w:t>з) конструкция электрододержателя для ручной сварки должна обеспечивать надежное зажатие и быструю смену электродов,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 Рукоятка электрододержателя делается из негорючего диэлектрического и теплоизолирующего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и) следует применять электроды, изготовленные в заводских условиях, соответствующие номинальной величине сварочного тока. При смене электродов их остатки (огарки) следует помещать в металлический ящик, устанавливаемый у места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к) необходимо электросварочную установку на время работы заземлять.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 к которому присоединяется проводник, идущий к изделию (обратный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л) чистку агрегата и пусковой аппаратуры следует проводить ежедневно после окончания работы. Техническое обслуживание и планово-предупредительный ремонт сварочного оборудования проводится в соответствии с графиком;</w:t>
      </w:r>
    </w:p>
    <w:p>
      <w:pPr>
        <w:spacing w:line="240" w:lineRule="auto"/>
        <w:rPr>
          <w:rFonts w:hAnsi="Times New Roman" w:cs="Times New Roman"/>
          <w:color w:val="000000"/>
          <w:sz w:val="24"/>
          <w:szCs w:val="24"/>
        </w:rPr>
      </w:pPr>
      <w:r>
        <w:rPr>
          <w:rFonts w:hAnsi="Times New Roman" w:cs="Times New Roman"/>
          <w:color w:val="000000"/>
          <w:sz w:val="24"/>
          <w:szCs w:val="24"/>
        </w:rPr>
        <w:t>м) питание дуги в установках для атомно-водородной сварки обеспечивается от отдельного трансформатора. Запрещается непосредственное питание дуги от распределительной сети через регулятор тока любого типа;</w:t>
      </w:r>
    </w:p>
    <w:p>
      <w:pPr>
        <w:spacing w:line="240" w:lineRule="auto"/>
        <w:rPr>
          <w:rFonts w:hAnsi="Times New Roman" w:cs="Times New Roman"/>
          <w:color w:val="000000"/>
          <w:sz w:val="24"/>
          <w:szCs w:val="24"/>
        </w:rPr>
      </w:pPr>
      <w:r>
        <w:rPr>
          <w:rFonts w:hAnsi="Times New Roman" w:cs="Times New Roman"/>
          <w:color w:val="000000"/>
          <w:sz w:val="24"/>
          <w:szCs w:val="24"/>
        </w:rPr>
        <w:t>н) при атомно-водородной сварке в горелке должно предусматриваться автоматическое отключение напряжения и прекращение подачи водорода в случае разрыва цепи. Запрещается оставлять включенные горелки без присмотра.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 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11.1. 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896a081736642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