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в маслохозяйстве (ГСМ)</w:t>
      </w:r>
    </w:p>
    <w:p>
      <w:pPr>
        <w:spacing w:line="240" w:lineRule="auto"/>
        <w:jc w:val="center"/>
        <w:rPr>
          <w:rFonts w:hAnsi="Times New Roman" w:cs="Times New Roman"/>
          <w:color w:val="000000"/>
          <w:sz w:val="24"/>
          <w:szCs w:val="24"/>
        </w:rPr>
      </w:pP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в маслохозяйстве (ГСМ)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в маслохозяйстве (ГСМ)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в маслохозяйстве (ГСМ)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территорий, зданий,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2.2. Запрещается использовать для стоянки автомобилей (частных автомобилей и автомобилей организаций) разворотные и специальные площадки, предназначенные для установки пожарно-спасательной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2.3. Необходимо проводить очистку объекта защиты и прилегающей к нему территории, в том числе в пределах противопожарных расстояний между объектами защиты,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2.4. Не допускается сжигать отходы и тару, разводить костры в местах, находящихся на расстоянии менее 50 метров от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2.5. Запрещается 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2.6. Запрещается устраивать в производственных и складских помещениях зданий (кроме зданий V степени огнестойкости) антресоли, конторки и другие встроенные помещения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2.7.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 в соответствии с требованиями </w:t>
      </w:r>
      <w:r>
        <w:rPr>
          <w:rFonts w:hAnsi="Times New Roman" w:cs="Times New Roman"/>
          <w:color w:val="000000"/>
          <w:sz w:val="24"/>
          <w:szCs w:val="24"/>
        </w:rPr>
        <w:t>части 4</w:t>
      </w:r>
      <w:r>
        <w:rPr>
          <w:rFonts w:hAnsi="Times New Roman" w:cs="Times New Roman"/>
          <w:color w:val="000000"/>
          <w:sz w:val="24"/>
          <w:szCs w:val="24"/>
        </w:rPr>
        <w:t xml:space="preserve"> статьи 4 Федерального закона "Технический регламент о требованиях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2.9.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2.10.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2.11. При расстановке в помещениях технологического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2.12.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2.13.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2.14. Перевод установок с автоматического пуска на ручной запрещается, за исключением случаев, предусмотренных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2.15.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2.16. Запрещается использовать для проживания людей складские здания и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2.17.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2.18. Запрещается в помещениях складов применять дежурное освещение, использовать газовые плиты и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2.19. Хранить на складах (в помещениях) вещества и материалы необходимо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др.).</w:t>
      </w:r>
    </w:p>
    <w:p>
      <w:pPr>
        <w:spacing w:line="240" w:lineRule="auto"/>
        <w:rPr>
          <w:rFonts w:hAnsi="Times New Roman" w:cs="Times New Roman"/>
          <w:color w:val="000000"/>
          <w:sz w:val="24"/>
          <w:szCs w:val="24"/>
        </w:rPr>
      </w:pPr>
      <w:r>
        <w:rPr>
          <w:rFonts w:hAnsi="Times New Roman" w:cs="Times New Roman"/>
          <w:color w:val="000000"/>
          <w:sz w:val="24"/>
          <w:szCs w:val="24"/>
        </w:rPr>
        <w:t>2.20. Баллоны с горючими газами, емкости (бутылки, бутыли, другая тара) с легковоспламеняющимися и горючими жидкостями, а также аэрозольные упаковки должны быть защищены от солнечного 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2.21. На открытых площадках или под навесами хранение аэрозольных упаковок допускается только в негорючих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2.22.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2.23. Запрещается стоянка и ремонт погрузочно-разгрузочных и транспортных средств в складских помещениях и на дебаркадерах.</w:t>
      </w:r>
    </w:p>
    <w:p>
      <w:pPr>
        <w:spacing w:line="240" w:lineRule="auto"/>
        <w:rPr>
          <w:rFonts w:hAnsi="Times New Roman" w:cs="Times New Roman"/>
          <w:color w:val="000000"/>
          <w:sz w:val="24"/>
          <w:szCs w:val="24"/>
        </w:rPr>
      </w:pPr>
      <w:r>
        <w:rPr>
          <w:rFonts w:hAnsi="Times New Roman" w:cs="Times New Roman"/>
          <w:color w:val="000000"/>
          <w:sz w:val="24"/>
          <w:szCs w:val="24"/>
        </w:rPr>
        <w:t>2.24. Грузы и материалы, разгруженные на рампу (платформу), к концу рабочего дня должны быть убраны.</w:t>
      </w:r>
    </w:p>
    <w:p>
      <w:pPr>
        <w:spacing w:line="240" w:lineRule="auto"/>
        <w:rPr>
          <w:rFonts w:hAnsi="Times New Roman" w:cs="Times New Roman"/>
          <w:color w:val="000000"/>
          <w:sz w:val="24"/>
          <w:szCs w:val="24"/>
        </w:rPr>
      </w:pPr>
      <w:r>
        <w:rPr>
          <w:rFonts w:hAnsi="Times New Roman" w:cs="Times New Roman"/>
          <w:color w:val="000000"/>
          <w:sz w:val="24"/>
          <w:szCs w:val="24"/>
        </w:rPr>
        <w:t>2.25. Все операции, связанные с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 должны производиться в помещениях, изолированных от мест хранения.</w:t>
      </w:r>
    </w:p>
    <w:p>
      <w:pPr>
        <w:spacing w:line="240" w:lineRule="auto"/>
        <w:rPr>
          <w:rFonts w:hAnsi="Times New Roman" w:cs="Times New Roman"/>
          <w:color w:val="000000"/>
          <w:sz w:val="24"/>
          <w:szCs w:val="24"/>
        </w:rPr>
      </w:pPr>
      <w:r>
        <w:rPr>
          <w:rFonts w:hAnsi="Times New Roman" w:cs="Times New Roman"/>
          <w:color w:val="000000"/>
          <w:sz w:val="24"/>
          <w:szCs w:val="24"/>
        </w:rPr>
        <w:t>2.26. При хранении горючих материалов на открытой площадке площадь одной секции (штабеля) не должна превышать 300 кв. метров, а противопожарные расстояния между штабелями должны быть не менее 8 метров.</w:t>
      </w:r>
    </w:p>
    <w:p>
      <w:pPr>
        <w:spacing w:line="240" w:lineRule="auto"/>
        <w:rPr>
          <w:rFonts w:hAnsi="Times New Roman" w:cs="Times New Roman"/>
          <w:color w:val="000000"/>
          <w:sz w:val="24"/>
          <w:szCs w:val="24"/>
        </w:rPr>
      </w:pPr>
      <w:r>
        <w:rPr>
          <w:rFonts w:hAnsi="Times New Roman" w:cs="Times New Roman"/>
          <w:color w:val="000000"/>
          <w:sz w:val="24"/>
          <w:szCs w:val="24"/>
        </w:rPr>
        <w:t>2.27. Запрещается на территориях общего пользования поселений и городских округов, на территории садоводства или огородничества устраивать свалки горючих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2.28. Запрещается хранение горючих материалов, отходов, упаковок и контейнеров в торговых залах и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2.29. Хранение запасов горюче-смазочных материалов осуществляется в закрытой металлической таре на расстоянии 20 метров от пункта стрижки и строений.</w:t>
      </w:r>
    </w:p>
    <w:p>
      <w:pPr>
        <w:spacing w:line="240" w:lineRule="auto"/>
        <w:rPr>
          <w:rFonts w:hAnsi="Times New Roman" w:cs="Times New Roman"/>
          <w:color w:val="000000"/>
          <w:sz w:val="24"/>
          <w:szCs w:val="24"/>
        </w:rPr>
      </w:pPr>
      <w:r>
        <w:rPr>
          <w:rFonts w:hAnsi="Times New Roman" w:cs="Times New Roman"/>
          <w:color w:val="000000"/>
          <w:sz w:val="24"/>
          <w:szCs w:val="24"/>
        </w:rPr>
        <w:t>2.30. Противопожарные расстояния от пункта приготовления травяной муки до зданий, сооружений, строений и цистерн с горюче-смазочными материалами должны быть не менее 50 метров, а до открытых складов грубых кормов - не менее 150 метров.</w:t>
      </w:r>
    </w:p>
    <w:p>
      <w:pPr>
        <w:spacing w:line="240" w:lineRule="auto"/>
        <w:rPr>
          <w:rFonts w:hAnsi="Times New Roman" w:cs="Times New Roman"/>
          <w:color w:val="000000"/>
          <w:sz w:val="24"/>
          <w:szCs w:val="24"/>
        </w:rPr>
      </w:pPr>
      <w:r>
        <w:rPr>
          <w:rFonts w:hAnsi="Times New Roman" w:cs="Times New Roman"/>
          <w:color w:val="000000"/>
          <w:sz w:val="24"/>
          <w:szCs w:val="24"/>
        </w:rPr>
        <w:t>2.31. Доставка горюче-смазочных материалов для выполнения технологических работ в тоннеле (тоннелях) должна осуществляться на оборудованном для этих целей моторельсовом транспорте в специальных раздаточных емкостях в ночное время (при отсутствии пассажиров в метрополитене).</w:t>
      </w:r>
    </w:p>
    <w:p>
      <w:pPr>
        <w:spacing w:line="240" w:lineRule="auto"/>
        <w:rPr>
          <w:rFonts w:hAnsi="Times New Roman" w:cs="Times New Roman"/>
          <w:color w:val="000000"/>
          <w:sz w:val="24"/>
          <w:szCs w:val="24"/>
        </w:rPr>
      </w:pPr>
      <w:r>
        <w:rPr>
          <w:rFonts w:hAnsi="Times New Roman" w:cs="Times New Roman"/>
          <w:color w:val="000000"/>
          <w:sz w:val="24"/>
          <w:szCs w:val="24"/>
        </w:rPr>
        <w:t>2.32. Транспорт, приспособленный для перевозки горюче-смазочных материалов в тоннелях, оснащается не менее чем 2 огнетушителями с минимальным рангом тушения модельного очага 55B.</w:t>
      </w:r>
    </w:p>
    <w:p>
      <w:pPr>
        <w:spacing w:line="240" w:lineRule="auto"/>
        <w:rPr>
          <w:rFonts w:hAnsi="Times New Roman" w:cs="Times New Roman"/>
          <w:color w:val="000000"/>
          <w:sz w:val="24"/>
          <w:szCs w:val="24"/>
        </w:rPr>
      </w:pPr>
      <w:r>
        <w:rPr>
          <w:rFonts w:hAnsi="Times New Roman" w:cs="Times New Roman"/>
          <w:color w:val="000000"/>
          <w:sz w:val="24"/>
          <w:szCs w:val="24"/>
        </w:rPr>
        <w:t>2.33. Горюче-смазочные материалы для заправки двигателей разрешается хранить в количестве не более 1 бочки и на расстоянии не менее 10 метров от лебедки и 20 метров от ближайшего штабеля.</w:t>
      </w:r>
    </w:p>
    <w:p>
      <w:pPr>
        <w:spacing w:line="240" w:lineRule="auto"/>
        <w:rPr>
          <w:rFonts w:hAnsi="Times New Roman" w:cs="Times New Roman"/>
          <w:color w:val="000000"/>
          <w:sz w:val="24"/>
          <w:szCs w:val="24"/>
        </w:rPr>
      </w:pPr>
      <w:r>
        <w:rPr>
          <w:rFonts w:hAnsi="Times New Roman" w:cs="Times New Roman"/>
          <w:color w:val="000000"/>
          <w:sz w:val="24"/>
          <w:szCs w:val="24"/>
        </w:rPr>
        <w:t>2.34. Запрещается использовать противопожарные минерализованные полосы под строительство различных сооружений и подсобных строений, а также для складирования горючих материалов, мусора, отходов древесных, строительных и других горючих материалов.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 Мероприятия по обеспечению пожарной безопасности технологических процессов при эксплуатации оборудования и производстве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3.8. Помещения и рабочие зоны, в которых применяются горючие вещества (приготовление состава и нанесение его на изделия), выделяющие пожаровзрывоопасные пары, обеспечиваются естественной или принудительной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Кратность воздухообмена для безопасного ведения работ в указанных помещениях определяется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допускать в помещения, в которых применяются горючие вещества, лиц, не участвующих в непосредственном выполнении работ, а также производить работы и находиться людям в смежных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3.9. Работы в помещениях, цистернах, технологических аппаратах (оборудовании), зонах (территориях), в которых возможно образование горючих паровоздушных смесей, следует выполнять искробезопасным инструментом в одежде и обуви, не способных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3.10.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3.11.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работоспособности проводится не реже 2 раз в год (весной и осенью) с составлением соответствующих актов.</w:t>
      </w:r>
    </w:p>
    <w:p>
      <w:pPr>
        <w:spacing w:line="240" w:lineRule="auto"/>
        <w:rPr>
          <w:rFonts w:hAnsi="Times New Roman" w:cs="Times New Roman"/>
          <w:color w:val="000000"/>
          <w:sz w:val="24"/>
          <w:szCs w:val="24"/>
        </w:rPr>
      </w:pPr>
      <w:r>
        <w:rPr>
          <w:rFonts w:hAnsi="Times New Roman" w:cs="Times New Roman"/>
          <w:color w:val="000000"/>
          <w:sz w:val="24"/>
          <w:szCs w:val="24"/>
        </w:rPr>
        <w:t>3.12.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в 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складов и баз, на объектах добычи, переработки и хранения легковоспламеняющихся и горючих жидкостей и горючих газов, на объектах защиты производства всех видов взрывчатых веществ, на пожаровзрывоопасных и пожароопасных участках,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6.3. 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6.4.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6.5.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6.6.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6.7.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6.8.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 .</w:t>
      </w:r>
    </w:p>
    <w:p>
      <w:pPr>
        <w:spacing w:line="240" w:lineRule="auto"/>
        <w:rPr>
          <w:rFonts w:hAnsi="Times New Roman" w:cs="Times New Roman"/>
          <w:color w:val="000000"/>
          <w:sz w:val="24"/>
          <w:szCs w:val="24"/>
        </w:rPr>
      </w:pPr>
      <w:r>
        <w:rPr>
          <w:rFonts w:hAnsi="Times New Roman" w:cs="Times New Roman"/>
          <w:color w:val="000000"/>
          <w:sz w:val="24"/>
          <w:szCs w:val="24"/>
        </w:rPr>
        <w:t>6.9.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6.10.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бензо- и керосинорезательных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иметь давление воздуха в бачке с горючим, превышающее рабочее давление кислорода в резаке;</w:t>
      </w:r>
    </w:p>
    <w:p>
      <w:pPr>
        <w:spacing w:line="240" w:lineRule="auto"/>
        <w:rPr>
          <w:rFonts w:hAnsi="Times New Roman" w:cs="Times New Roman"/>
          <w:color w:val="000000"/>
          <w:sz w:val="24"/>
          <w:szCs w:val="24"/>
        </w:rPr>
      </w:pPr>
      <w:r>
        <w:rPr>
          <w:rFonts w:hAnsi="Times New Roman" w:cs="Times New Roman"/>
          <w:color w:val="000000"/>
          <w:sz w:val="24"/>
          <w:szCs w:val="24"/>
        </w:rPr>
        <w:t>б) перегревать испаритель резака, а также подвешивать резак во время работы вертикально, головкой вверх;</w:t>
      </w:r>
    </w:p>
    <w:p>
      <w:pPr>
        <w:spacing w:line="240" w:lineRule="auto"/>
        <w:rPr>
          <w:rFonts w:hAnsi="Times New Roman" w:cs="Times New Roman"/>
          <w:color w:val="000000"/>
          <w:sz w:val="24"/>
          <w:szCs w:val="24"/>
        </w:rPr>
      </w:pPr>
      <w:r>
        <w:rPr>
          <w:rFonts w:hAnsi="Times New Roman" w:cs="Times New Roman"/>
          <w:color w:val="000000"/>
          <w:sz w:val="24"/>
          <w:szCs w:val="24"/>
        </w:rPr>
        <w:t>в) зажимать, перекручивать или заламывать шланги, подающие кислород или горючее к резаку;</w:t>
      </w:r>
    </w:p>
    <w:p>
      <w:pPr>
        <w:spacing w:line="240" w:lineRule="auto"/>
        <w:rPr>
          <w:rFonts w:hAnsi="Times New Roman" w:cs="Times New Roman"/>
          <w:color w:val="000000"/>
          <w:sz w:val="24"/>
          <w:szCs w:val="24"/>
        </w:rPr>
      </w:pPr>
      <w:r>
        <w:rPr>
          <w:rFonts w:hAnsi="Times New Roman" w:cs="Times New Roman"/>
          <w:color w:val="000000"/>
          <w:sz w:val="24"/>
          <w:szCs w:val="24"/>
        </w:rPr>
        <w:t>г) использовать кислородные шланги для подвода бензина или керосина к резаку.</w:t>
      </w:r>
    </w:p>
    <w:p>
      <w:pPr>
        <w:spacing w:line="240" w:lineRule="auto"/>
        <w:rPr>
          <w:rFonts w:hAnsi="Times New Roman" w:cs="Times New Roman"/>
          <w:color w:val="000000"/>
          <w:sz w:val="24"/>
          <w:szCs w:val="24"/>
        </w:rPr>
      </w:pPr>
      <w:r>
        <w:rPr>
          <w:rFonts w:hAnsi="Times New Roman" w:cs="Times New Roman"/>
          <w:color w:val="000000"/>
          <w:sz w:val="24"/>
          <w:szCs w:val="24"/>
        </w:rPr>
        <w:t>6.12. Место для проведения сварочных и резательных работ на объектах защиты,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5 сантиметров. Для предотвращения разлета раскаленных частиц указанный зазор должен быть огражден сеткой из негорючего материала с размером ячеек не более 1 х 1 миллиметр.</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9.3.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9.5.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требования пожарной безопасности, отраженные в инструкциях (паспортах) заводов-изготовителей данного оборудования, а также предельные показания контрольно-измерительных приборов (манометры, термометры и др.) и признаки неисправности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12.1.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12.2.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a2b1fd5edbf4f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