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складе пиломатериалов и готовой продукции</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в складе пиломатериалов и готовой продукции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в складе пиломатериалов и готовой продукции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в складе пиломатериалов и готовой продукции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и прилегающей к нему территории, в том числе в пределах противопожарных расстояний между объектамизащиты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производить изменение объемно-планировочных решений и размещение инженерных коммуникаций и оборудования, в результате которых ограничивается доступ к огнетушителям, пожарным кранам и другим системам обеспечения пожарной безопасности или уменьшается зона действия автоматических систем противопожарной защиты (автоматической пожарной сигнализации, стационарной автоматической установки пожаротушения, системы дымоудаления, системы оповещения и управления эвакуацией).</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2.7. Запрещается 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2.8.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2.10.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2.11.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2.12.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2.15.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2.16. 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использовать для проживания людей производственные здания и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2.18.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2.20.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2.21.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2.22.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2.23.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2.24. На складах по хранению лесных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а) места, отведенные под штабели, должны быть очищены до грунта от травяного покрова, горючего мусора и отходов или покрыты слоем песка, земли или гравия толщиной не менее 15 сантиметров;</w:t>
      </w:r>
    </w:p>
    <w:p>
      <w:pPr>
        <w:spacing w:line="240" w:lineRule="auto"/>
        <w:rPr>
          <w:rFonts w:hAnsi="Times New Roman" w:cs="Times New Roman"/>
          <w:color w:val="000000"/>
          <w:sz w:val="24"/>
          <w:szCs w:val="24"/>
        </w:rPr>
      </w:pPr>
      <w:r>
        <w:rPr>
          <w:rFonts w:hAnsi="Times New Roman" w:cs="Times New Roman"/>
          <w:color w:val="000000"/>
          <w:sz w:val="24"/>
          <w:szCs w:val="24"/>
        </w:rPr>
        <w:t>б) запрещается производить работы, не связанные с хранением лесных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помещения для обогрева рабочих устраиваются только в отдельных зданиях с соблюдением противопожарных расстояний до складов леса. Для отопления этих помещений допускается применять электронагревательные приборы только заводского изготовления;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г) лебедки с двигателями внутреннего сгорания размещаются на расстоянии не менее 15 метров от штабелей круглого леса. Площадка вокруг лебедки должна быть свободной от коры и других горючих отходов и мусора. Горюче-смазочные материалы для заправки двигателей разрешается хранить в количестве не более 1 бочки и на расстоянии не менее 10 метров от лебедки и 20 метров от ближайшего штабеля;</w:t>
      </w:r>
    </w:p>
    <w:p>
      <w:pPr>
        <w:spacing w:line="240" w:lineRule="auto"/>
        <w:rPr>
          <w:rFonts w:hAnsi="Times New Roman" w:cs="Times New Roman"/>
          <w:color w:val="000000"/>
          <w:sz w:val="24"/>
          <w:szCs w:val="24"/>
        </w:rPr>
      </w:pPr>
      <w:r>
        <w:rPr>
          <w:rFonts w:hAnsi="Times New Roman" w:cs="Times New Roman"/>
          <w:color w:val="000000"/>
          <w:sz w:val="24"/>
          <w:szCs w:val="24"/>
        </w:rPr>
        <w:t>д) при укладке и разборке штабелей пиломатериалов транспортные пакеты устанавливаются только по одной стороне проезда, при этом ширина оставшейся проезжей части дороги составляет не менее 4 метров. Общий объем не уложенных в штабели пиломатериалов не должен превышать суточного поступления их на склад;</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устанавливать транспортные пакеты в зоне противопожарных расстояний, а также на проездах и подъездах к пожарным водоисточникам;</w:t>
      </w:r>
    </w:p>
    <w:p>
      <w:pPr>
        <w:spacing w:line="240" w:lineRule="auto"/>
        <w:rPr>
          <w:rFonts w:hAnsi="Times New Roman" w:cs="Times New Roman"/>
          <w:color w:val="000000"/>
          <w:sz w:val="24"/>
          <w:szCs w:val="24"/>
        </w:rPr>
      </w:pPr>
      <w:r>
        <w:rPr>
          <w:rFonts w:hAnsi="Times New Roman" w:cs="Times New Roman"/>
          <w:color w:val="000000"/>
          <w:sz w:val="24"/>
          <w:szCs w:val="24"/>
        </w:rPr>
        <w:t>ж) обертка транспортных пакетов водонепроницаемой бумагой (при отсутствии этой операции в едином технологическом процессе) производится на специально отведенных площадках. Использованную водонепроницаемую бумагу, ее обрывки и обрезки необходимо собирать в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з) в закрытых складах пиломатериалов и готовой продукции не должно быть перегородок и служебных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и) хранить щепу разрешается в закрытых складах, бункерах и на открытых площадках с основанием из негорючего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2.25. Требования к порядку организации хранения и размещения древесины и пиломатериалов на складах лесных материалов установлены разделом 6.8 "Требования к складам лесных материалов" СП 4.13130.2013.</w:t>
      </w:r>
    </w:p>
    <w:p>
      <w:pPr>
        <w:spacing w:line="240" w:lineRule="auto"/>
        <w:rPr>
          <w:rFonts w:hAnsi="Times New Roman" w:cs="Times New Roman"/>
          <w:color w:val="000000"/>
          <w:sz w:val="24"/>
          <w:szCs w:val="24"/>
        </w:rPr>
      </w:pPr>
      <w:r>
        <w:rPr>
          <w:rFonts w:hAnsi="Times New Roman" w:cs="Times New Roman"/>
          <w:color w:val="000000"/>
          <w:sz w:val="24"/>
          <w:szCs w:val="24"/>
        </w:rPr>
        <w:t>2.26. Запрещается складирование дров:</w:t>
      </w:r>
    </w:p>
    <w:p>
      <w:pPr>
        <w:spacing w:line="240" w:lineRule="auto"/>
        <w:rPr>
          <w:rFonts w:hAnsi="Times New Roman" w:cs="Times New Roman"/>
          <w:color w:val="000000"/>
          <w:sz w:val="24"/>
          <w:szCs w:val="24"/>
        </w:rPr>
      </w:pPr>
      <w:r>
        <w:rPr>
          <w:rFonts w:hAnsi="Times New Roman" w:cs="Times New Roman"/>
          <w:color w:val="000000"/>
          <w:sz w:val="24"/>
          <w:szCs w:val="24"/>
        </w:rPr>
        <w:t>а) на расстоянии менее 50 метров от мостов, путепроводов, путевых сооружений и путей организованного движения поездов, а также лесных насаждений;</w:t>
      </w:r>
    </w:p>
    <w:p>
      <w:pPr>
        <w:spacing w:line="240" w:lineRule="auto"/>
        <w:rPr>
          <w:rFonts w:hAnsi="Times New Roman" w:cs="Times New Roman"/>
          <w:color w:val="000000"/>
          <w:sz w:val="24"/>
          <w:szCs w:val="24"/>
        </w:rPr>
      </w:pPr>
      <w:r>
        <w:rPr>
          <w:rFonts w:hAnsi="Times New Roman" w:cs="Times New Roman"/>
          <w:color w:val="000000"/>
          <w:sz w:val="24"/>
          <w:szCs w:val="24"/>
        </w:rPr>
        <w:t>б) на расстоянии менее 15 метров от оси линий связи;</w:t>
      </w:r>
    </w:p>
    <w:p>
      <w:pPr>
        <w:spacing w:line="240" w:lineRule="auto"/>
        <w:rPr>
          <w:rFonts w:hAnsi="Times New Roman" w:cs="Times New Roman"/>
          <w:color w:val="000000"/>
          <w:sz w:val="24"/>
          <w:szCs w:val="24"/>
        </w:rPr>
      </w:pPr>
      <w:r>
        <w:rPr>
          <w:rFonts w:hAnsi="Times New Roman" w:cs="Times New Roman"/>
          <w:color w:val="000000"/>
          <w:sz w:val="24"/>
          <w:szCs w:val="24"/>
        </w:rPr>
        <w:t>в) в пределах охранных зон воздушных линий электропередачи.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очистка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11.1.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2cf16ceefaf4a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