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охране труда при работе для управления платформой на воздушной подушке для применения двигателей внутреннего сгорания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управления платформой на воздушной подушке для применения двигателей внутреннего сгорания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управлении платформой на воздушной подушке для применения двигателей внутреннего сгорания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управлении платформой на воздушной подушке для применения двигателей внутреннего сгорания;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управлении платформой на воздушной подушке для применения двигателей внутреннего сгорания;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управлении платформой на воздушной подушке для применения двигателей внутреннего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управлении платформой на воздушной подушке для применения двигателей внутреннего сгорания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управлении платформой на воздушной подушке для применения двигателей внутреннего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допускается работник, имеющий соответствующую выполняемой работе квалификацию, прошедший: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управлении платформой на воздушной подушке для применения двигателей внутреннего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управлении платформой на воздушной подушке для применения двигателей внутреннего сгорания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им движущиеся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ветровые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острой кромки, углов, торчащих штырей;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недостаточной освещенности или повышенной яркости света в рабочей зоне;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или повышенных температур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качестве опасностей, в соответствии с перечнем профессиональных рисков и опасностей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пореза;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управлении платформой на воздушной подушке для применения двигателей внутреннего сгорания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предусмотренные соответствующими нормами спецодежду и спецобувь. Спецодежда должна быть застегнута. Не допускать развевающихся концов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(целостность) инструмента, приспособлений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началом работы необходимо провести первичный осмотр и проверку: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корпуса на отсутствие серьезных повреждений;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основных креплений и винтов на предмет расшатанности;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топливных баков на наличие минимально допустимого горючего до места возможной дозаправки;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воздушной подушки на внешнюю целостность.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Обледенение платформы крайне опасно, так как приводит к потере остойчивости платформы и если не принять своевременных мер по его освобождению ото льда, опрокидывание неизбежно.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обледенение застало судно в плавании, настоятельно необходимо принять меры: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направить судно к ближайшему убежищу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готовность все имеющееся средства для борьбы с обледенением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управлении судном выбирать такие курсовые углы, при которых набрызгивание на судно и его заливание будут наименьшими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попеременно менять курс судна, приводя направление ветра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правый и левый борт с целью устранения неравномерности обледенения бортов и возможности получения судном статического крена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допуская снижения остойчивости до опасных пределов удалить лед с соблюдением мер безопасности в первую очередь с высоко расположенных конструкций, далее обкалывайте лед имеющимися средствами с намораживаемых бортов судна, следите постоянно за дифферентом судна, чтобы вовремя произвести скол льда с носовых и кормовых конструкций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 и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37a21615c3c4f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