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дозирования на установке приготовления невзрывчатых компонентов эмульсионных взрывчатых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дозирования на установке приготовления невзрывчатых компонентов эмульсионных взрывчатых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знаний требований охраны труда , утвержденный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Ростехнадзора от 26.11.2020 N 458</w:t>
      </w:r>
      <w:r>
        <w:rPr>
          <w:rFonts w:hAnsi="Times New Roman" w:cs="Times New Roman"/>
          <w:color w:val="000000"/>
          <w:sz w:val="24"/>
          <w:szCs w:val="24"/>
        </w:rPr>
        <w:t xml:space="preserve"> Об утверждении Федеральных норм и правил в области промышленной безопасности Основные требования безопасности для объектов производств боеприпасов и спецхимии.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аппаратчика дозирования на установке приготовления невзрывчатых компонентов эмульсионных взрывчатых веществ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 передвигающиеся элементы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оборудования, а также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устойчивость агрегатов и устройств, надежность их крепления к полу, герметичность бункеров (силосов), уплотнительных прокладок, а также трубопроводов, шлангов, 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исправность источника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4.1.9.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дозируемых продуктов, сырья,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пробный запуск оборудования, убедиться в исправной работе всех узлов, агрегатов, пускорегулирующей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Аппаратчику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аппаратчику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приспособлениями,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Применяемое оборудование должно соответствовать требованиям утвержденных технических условий на его изготовление и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оборудования и его узлов должны обеспечивать безопасность и удобство при его обслуживании, ремонте, санитарной обработке, исключать возможность случайного повреждения трубопроводов, электропроводки, входящих в состав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выполнении операций по дозировке продуктов, сырья, полуфабрикатов вручную и с помощью технологического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дозаторов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дозатор в сеть, предварительно проверив заземление агрегата;</w:t>
      </w:r>
    </w:p>
    <w:p>
      <w:pPr>
        <w:spacing w:line="240" w:lineRule="auto"/>
        <w:rPr>
          <w:rFonts w:hAnsi="Times New Roman" w:cs="Times New Roman"/>
          <w:color w:val="000000"/>
          <w:sz w:val="24"/>
          <w:szCs w:val="24"/>
        </w:rPr>
      </w:pPr>
      <w:r>
        <w:rPr>
          <w:rFonts w:hAnsi="Times New Roman" w:cs="Times New Roman"/>
          <w:color w:val="000000"/>
          <w:sz w:val="24"/>
          <w:szCs w:val="24"/>
        </w:rPr>
        <w:t>- предупреждать о предстоящем пуске оборудования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и выключать оборудование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 настройку оборудования производить в зависимости от того, какой объем продукта необходимо отмерить;</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загрузку бункера равномерно;</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нормы загрузки, не допускать перегруза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выгрузку материала из бункера после определения объема производить по тканевому рукаву;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сбоя работы системы управления (нарушение режима работы индикации, нарушения режима работы устройства дозирования на установке приготовления невзрывчатых компонентов эмульсионных взрывчатых веществ) отключить агрегат от сети. Произвести повторное включение не ранее, чем через 1 минуту;</w:t>
      </w:r>
    </w:p>
    <w:p>
      <w:pPr>
        <w:spacing w:line="240" w:lineRule="auto"/>
        <w:rPr>
          <w:rFonts w:hAnsi="Times New Roman" w:cs="Times New Roman"/>
          <w:color w:val="000000"/>
          <w:sz w:val="24"/>
          <w:szCs w:val="24"/>
        </w:rPr>
      </w:pPr>
      <w:r>
        <w:rPr>
          <w:rFonts w:hAnsi="Times New Roman" w:cs="Times New Roman"/>
          <w:color w:val="000000"/>
          <w:sz w:val="24"/>
          <w:szCs w:val="24"/>
        </w:rPr>
        <w:t>- удалять остатки материала, очищать рабочие органы оборудования при помощи деревянных лопаток, скребков и т.п.;</w:t>
      </w:r>
    </w:p>
    <w:p>
      <w:pPr>
        <w:spacing w:line="240" w:lineRule="auto"/>
        <w:rPr>
          <w:rFonts w:hAnsi="Times New Roman" w:cs="Times New Roman"/>
          <w:color w:val="000000"/>
          <w:sz w:val="24"/>
          <w:szCs w:val="24"/>
        </w:rPr>
      </w:pPr>
      <w:r>
        <w:rPr>
          <w:rFonts w:hAnsi="Times New Roman" w:cs="Times New Roman"/>
          <w:color w:val="000000"/>
          <w:sz w:val="24"/>
          <w:szCs w:val="24"/>
        </w:rPr>
        <w:t>- снимать и устанавливать сменные части оборудования осторожно, без больших усилий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 закреплять сменные исполнительные механизмы, рабочие органы,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осматривать, регулировать, устранять возникшую неисправность, устанавливать (снимать) рабочие органы, извлекать застрявший материал,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с дозатором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наличии открытых токоведущих частей, неисправных коммутационных и сигнальных элементов на панели блока управления, при нарушении изоляции проводов, неправильной работе датчиков;</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обслуживание, устранение неполадок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допустимые скорости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извлекать руками застрявший продукт;</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складывать на оборудование инструмент, продукцию, тару.</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весами: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пломбу Государственного поверителя;</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весы на ровную горизонтальную поверхность, произвести их регулирование, калибровку;</w:t>
      </w:r>
    </w:p>
    <w:p>
      <w:pPr>
        <w:spacing w:line="240" w:lineRule="auto"/>
        <w:rPr>
          <w:rFonts w:hAnsi="Times New Roman" w:cs="Times New Roman"/>
          <w:color w:val="000000"/>
          <w:sz w:val="24"/>
          <w:szCs w:val="24"/>
        </w:rPr>
      </w:pPr>
      <w:r>
        <w:rPr>
          <w:rFonts w:hAnsi="Times New Roman" w:cs="Times New Roman"/>
          <w:color w:val="000000"/>
          <w:sz w:val="24"/>
          <w:szCs w:val="24"/>
        </w:rPr>
        <w:t>- взвешиваемые компоненты класть на весы осторожно, без толчков (бросков), по возможности в центре платформы, без выступов за габариты весов;</w:t>
      </w:r>
    </w:p>
    <w:p>
      <w:pPr>
        <w:spacing w:line="240" w:lineRule="auto"/>
        <w:rPr>
          <w:rFonts w:hAnsi="Times New Roman" w:cs="Times New Roman"/>
          <w:color w:val="000000"/>
          <w:sz w:val="24"/>
          <w:szCs w:val="24"/>
        </w:rPr>
      </w:pPr>
      <w:r>
        <w:rPr>
          <w:rFonts w:hAnsi="Times New Roman" w:cs="Times New Roman"/>
          <w:color w:val="000000"/>
          <w:sz w:val="24"/>
          <w:szCs w:val="24"/>
        </w:rPr>
        <w:t>- рассыпчатые (навальные) компоненты располагать равномерно по всей площади платформы весов;</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очищать платформу весов от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весов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на весы грузы, превышающие по массе наибольший предел взвешивания;</w:t>
      </w:r>
    </w:p>
    <w:p>
      <w:pPr>
        <w:spacing w:line="240" w:lineRule="auto"/>
        <w:rPr>
          <w:rFonts w:hAnsi="Times New Roman" w:cs="Times New Roman"/>
          <w:color w:val="000000"/>
          <w:sz w:val="24"/>
          <w:szCs w:val="24"/>
        </w:rPr>
      </w:pPr>
      <w:r>
        <w:rPr>
          <w:rFonts w:hAnsi="Times New Roman" w:cs="Times New Roman"/>
          <w:color w:val="000000"/>
          <w:sz w:val="24"/>
          <w:szCs w:val="24"/>
        </w:rPr>
        <w:t>- нагружать и разгружать весы при открытых арретире и изолире.</w:t>
      </w:r>
    </w:p>
    <w:p>
      <w:pPr>
        <w:spacing w:line="240" w:lineRule="auto"/>
        <w:rPr>
          <w:rFonts w:hAnsi="Times New Roman" w:cs="Times New Roman"/>
          <w:color w:val="000000"/>
          <w:sz w:val="24"/>
          <w:szCs w:val="24"/>
        </w:rPr>
      </w:pPr>
      <w:r>
        <w:rPr>
          <w:rFonts w:hAnsi="Times New Roman" w:cs="Times New Roman"/>
          <w:color w:val="000000"/>
          <w:sz w:val="24"/>
          <w:szCs w:val="24"/>
        </w:rPr>
        <w:t>5.1.14. На фазе приготовления эмульсионной основы (эмульсии) загрузка сыпучих компонентов окислителей в аппарат растворения и загрузка компонентов горючей фазы в смеситель должны производиться через металлическую сетку.</w:t>
      </w:r>
    </w:p>
    <w:p>
      <w:pPr>
        <w:spacing w:line="240" w:lineRule="auto"/>
        <w:rPr>
          <w:rFonts w:hAnsi="Times New Roman" w:cs="Times New Roman"/>
          <w:color w:val="000000"/>
          <w:sz w:val="24"/>
          <w:szCs w:val="24"/>
        </w:rPr>
      </w:pPr>
      <w:r>
        <w:rPr>
          <w:rFonts w:hAnsi="Times New Roman" w:cs="Times New Roman"/>
          <w:color w:val="000000"/>
          <w:sz w:val="24"/>
          <w:szCs w:val="24"/>
        </w:rPr>
        <w:t>5.1.16. Материал и размеры ячеек сеток и фильтров должны быть указаны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5.1.17. Внутри аппарата эмульгирования не допускаются резьбовые и другие разъемные соединения деталей на роторе и статоре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5.1.18. Конструкции ротора и статора должны быть цельносварными.</w:t>
      </w:r>
    </w:p>
    <w:p>
      <w:pPr>
        <w:spacing w:line="240" w:lineRule="auto"/>
        <w:rPr>
          <w:rFonts w:hAnsi="Times New Roman" w:cs="Times New Roman"/>
          <w:color w:val="000000"/>
          <w:sz w:val="24"/>
          <w:szCs w:val="24"/>
        </w:rPr>
      </w:pPr>
      <w:r>
        <w:rPr>
          <w:rFonts w:hAnsi="Times New Roman" w:cs="Times New Roman"/>
          <w:color w:val="000000"/>
          <w:sz w:val="24"/>
          <w:szCs w:val="24"/>
        </w:rPr>
        <w:t>5.1.19. При изготовлении эмульсии в аппаратах эмульгирования должен быть организован регулярный контроль температуры и плотности эмульсии, периодичность и методы контроля должны быть указаны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5.1.20. В системе управления аппаратом эмульгирования должны быть предусмотрены блокировочные устройства, предотвращающие его работу при отклонении температуры эмульсии от значений, указанных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5.1.21. На операциях подготовки компонентов и приготовления эмульсии должны быть приняты меры по исключению возможности попадания кристаллического нитрита натрия в компоненты и готовую эмульсию, данные меры должны быть указаны в технологической документации на процесс.</w:t>
      </w:r>
    </w:p>
    <w:p>
      <w:pPr>
        <w:spacing w:line="240" w:lineRule="auto"/>
        <w:rPr>
          <w:rFonts w:hAnsi="Times New Roman" w:cs="Times New Roman"/>
          <w:color w:val="000000"/>
          <w:sz w:val="24"/>
          <w:szCs w:val="24"/>
        </w:rPr>
      </w:pPr>
      <w:r>
        <w:rPr>
          <w:rFonts w:hAnsi="Times New Roman" w:cs="Times New Roman"/>
          <w:color w:val="000000"/>
          <w:sz w:val="24"/>
          <w:szCs w:val="24"/>
        </w:rPr>
        <w:t>5.1.22. Диаметры продуктопроводов при перекачивании эмульсии не должны быть более критического диаметра детонации эмульсии и должны соответствовать требованиям проектной 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5.1.23. В производствах эмульсионных ВВ с применением бризантных ВВ последние должны быть флегматизированы перед смешением с эмульсией согласно требованиям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5.1.24. Конструкции емкостей, дозирующих и смешивающих узлов, тракты прохождения взрывчатых компонентов и смесей не должны иметь внутри крепежных деталей (болтов, шпилек, гаек, шайб).</w:t>
      </w:r>
    </w:p>
    <w:p>
      <w:pPr>
        <w:spacing w:line="240" w:lineRule="auto"/>
        <w:rPr>
          <w:rFonts w:hAnsi="Times New Roman" w:cs="Times New Roman"/>
          <w:color w:val="000000"/>
          <w:sz w:val="24"/>
          <w:szCs w:val="24"/>
        </w:rPr>
      </w:pPr>
      <w:r>
        <w:rPr>
          <w:rFonts w:hAnsi="Times New Roman" w:cs="Times New Roman"/>
          <w:color w:val="000000"/>
          <w:sz w:val="24"/>
          <w:szCs w:val="24"/>
        </w:rPr>
        <w:t>5.1.25. В трактах прохождения компонентов и взрывчатых смесей не должно быть застойных зон, в которых не было бы обмена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5.1.26. Валы насосов, аппарата эмульгирования, установки смешения и патронирования должны иметь выносные подшипники.</w:t>
      </w:r>
    </w:p>
    <w:p>
      <w:pPr>
        <w:spacing w:line="240" w:lineRule="auto"/>
        <w:rPr>
          <w:rFonts w:hAnsi="Times New Roman" w:cs="Times New Roman"/>
          <w:color w:val="000000"/>
          <w:sz w:val="24"/>
          <w:szCs w:val="24"/>
        </w:rPr>
      </w:pPr>
      <w:r>
        <w:rPr>
          <w:rFonts w:hAnsi="Times New Roman" w:cs="Times New Roman"/>
          <w:color w:val="000000"/>
          <w:sz w:val="24"/>
          <w:szCs w:val="24"/>
        </w:rPr>
        <w:t>5.1.27. В установке смешения должны быть зазоры между корпусом смесителя и перемешивающим устройством (ротором) согласно требованиям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5.1.28. При применении в установке патронирования винтовых насосов для дозирования эмульсионных ВВ в оболочку патрона должны быть установлены приборы контроля давления и блокировочные устройства, предотвращающие работу винтового насоса "всухую" при отсутствии продукта на входе насоса и повышения давления из-за образования пробки на выходе из насоса. Допустимые значения давления должны быть указаны в технологической документации на процесс.</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аппаратчику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spacing w:line="240" w:lineRule="auto"/>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отключении освещения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аппаратчику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аппаратчик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аппаратчику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770740f973043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