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rPr>
          <w:rFonts w:hAnsi="Times New Roman" w:cs="Times New Roman"/>
          <w:b/>
          <w:bCs/>
          <w:color w:val="000000"/>
          <w:sz w:val="24"/>
          <w:szCs w:val="24"/>
        </w:rPr>
        <w:t>по</w:t>
      </w:r>
      <w:r>
        <w:rPr>
          <w:rFonts w:hAnsi="Times New Roman" w:cs="Times New Roman"/>
          <w:b/>
          <w:bCs/>
          <w:color w:val="000000"/>
          <w:sz w:val="24"/>
          <w:szCs w:val="24"/>
        </w:rPr>
        <w:t>охране труда для аппаратчика синтеза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аппаратчика синтеза.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синтеза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 пониженная температура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при длительной работе за экраном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необходимо пользоваться защитной спецодеждой и очками.</w:t>
      </w:r>
    </w:p>
    <w:p>
      <w:pPr>
        <w:spacing w:line="240" w:lineRule="auto"/>
        <w:rPr>
          <w:rFonts w:hAnsi="Times New Roman" w:cs="Times New Roman"/>
          <w:color w:val="000000"/>
          <w:sz w:val="24"/>
          <w:szCs w:val="24"/>
        </w:rPr>
      </w:pPr>
      <w:r>
        <w:rPr>
          <w:rFonts w:hAnsi="Times New Roman" w:cs="Times New Roman"/>
          <w:color w:val="000000"/>
          <w:sz w:val="24"/>
          <w:szCs w:val="24"/>
        </w:rPr>
        <w:t>5.1.2. При эксплуатации установок синтеза нельзя допускать взрывоопасных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5.1.3. Аппараты и трубопроводы должны перед пуском продуваться.</w:t>
      </w:r>
    </w:p>
    <w:p>
      <w:pPr>
        <w:spacing w:line="240" w:lineRule="auto"/>
        <w:rPr>
          <w:rFonts w:hAnsi="Times New Roman" w:cs="Times New Roman"/>
          <w:color w:val="000000"/>
          <w:sz w:val="24"/>
          <w:szCs w:val="24"/>
        </w:rPr>
      </w:pPr>
      <w:r>
        <w:rPr>
          <w:rFonts w:hAnsi="Times New Roman" w:cs="Times New Roman"/>
          <w:color w:val="000000"/>
          <w:sz w:val="24"/>
          <w:szCs w:val="24"/>
        </w:rPr>
        <w:t>5.1.4. Продувку ресиверов следует вести до достижения в них концентрации компонентов в соответствии с нормами.</w:t>
      </w:r>
    </w:p>
    <w:p>
      <w:pPr>
        <w:spacing w:line="240" w:lineRule="auto"/>
        <w:rPr>
          <w:rFonts w:hAnsi="Times New Roman" w:cs="Times New Roman"/>
          <w:color w:val="000000"/>
          <w:sz w:val="24"/>
          <w:szCs w:val="24"/>
        </w:rPr>
      </w:pPr>
      <w:r>
        <w:rPr>
          <w:rFonts w:hAnsi="Times New Roman" w:cs="Times New Roman"/>
          <w:color w:val="000000"/>
          <w:sz w:val="24"/>
          <w:szCs w:val="24"/>
        </w:rPr>
        <w:t>5.1.5. При проведении сварки или ремонтных работ, требующих вскрытия оборудования, а также при отключении оборудования на срок более 4 часов необходимо производить продувку аппаратов и трубопроводов до полного отсутствия взрывоопасных смесей.</w:t>
      </w:r>
    </w:p>
    <w:p>
      <w:pPr>
        <w:spacing w:line="240" w:lineRule="auto"/>
        <w:rPr>
          <w:rFonts w:hAnsi="Times New Roman" w:cs="Times New Roman"/>
          <w:color w:val="000000"/>
          <w:sz w:val="24"/>
          <w:szCs w:val="24"/>
        </w:rPr>
      </w:pPr>
      <w:r>
        <w:rPr>
          <w:rFonts w:hAnsi="Times New Roman" w:cs="Times New Roman"/>
          <w:color w:val="000000"/>
          <w:sz w:val="24"/>
          <w:szCs w:val="24"/>
        </w:rPr>
        <w:t>5.1.6. Замерзшие трубопроводы и задвижки можно отогревать только паром или горячей водой. Утечку газа из соединений следует определять специальными течеискателями или с помощью мыльного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синтеза не допускается подтягивать болты и гайки аппаратов и арматуры, находящихся под давлением. Шланги и штуцеры должны быть надежно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5.1.8. Работа оборудования синтеза при отсутствии видимых уровней жидкости в смотровых стеклах регуляторов давления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Переносить бутыли с агрессивными веществами на небольшие расстояния в пределах рабочего места следует в корзинах с двумя ручками не менее чем двум работникам после предварительной проверки прочности ручек и дна корзины.</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бутыли в руках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Необходимо постоянно следить за надежностью присоединения и исправностью заземляющего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5.1.11. При обслуживании и ремонте аппаратуры синтеза, преобразователей тока, контрольно-измерительной аппаратуры необходимо пользоваться инструментом с изолирующими рукоятками, индикаторами напряжения и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производить работы с открытым огнем в помещении до отключения установки, проведения анализа воздуха и обеспечения непрерывной вентиляции помещения. Наличие водорода в воздухе при возникновении открытого огня приводит к взрыву в помещении и пожару на ЭУ.</w:t>
      </w:r>
    </w:p>
    <w:p>
      <w:pPr>
        <w:spacing w:line="240" w:lineRule="auto"/>
        <w:rPr>
          <w:rFonts w:hAnsi="Times New Roman" w:cs="Times New Roman"/>
          <w:color w:val="000000"/>
          <w:sz w:val="24"/>
          <w:szCs w:val="24"/>
        </w:rPr>
      </w:pPr>
      <w:r>
        <w:rPr>
          <w:rFonts w:hAnsi="Times New Roman" w:cs="Times New Roman"/>
          <w:color w:val="000000"/>
          <w:sz w:val="24"/>
          <w:szCs w:val="24"/>
        </w:rPr>
        <w:t>5.1.13. При необходимости проведения работ с открытым огнем на аппаратах одной при наличии работающей второй необходимо отсоединить трубопроводы работающей установки от ремонтируемой с установкой заглушек с хвостовиками. Место проведения огневых работ оградить щитами.</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ремонтных работ на аппаратах, содержащих водород,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5.1.14. Для проверки предохранительных клапанов установка должна быть отключена и продута. Испытания клапанов во время работы установки не допускаются.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(несчастного случая, пожара, стихийного бедствия) следует немедленно сообщить о ситуации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 Оповестить всех работающих в производственном помещении и принять меры к тушению очага возгорания. Горящие части электроустановок и электропроводку, находящиеся под напряжением, следует тушить углекислотными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2. Принять меры к вызову на место пожара своего непосредственного руководителя или других должностных лиц.</w:t>
      </w:r>
    </w:p>
    <w:p>
      <w:pPr>
        <w:spacing w:line="240" w:lineRule="auto"/>
        <w:rPr>
          <w:rFonts w:hAnsi="Times New Roman" w:cs="Times New Roman"/>
          <w:color w:val="000000"/>
          <w:sz w:val="24"/>
          <w:szCs w:val="24"/>
        </w:rPr>
      </w:pPr>
      <w:r>
        <w:rPr>
          <w:rFonts w:hAnsi="Times New Roman" w:cs="Times New Roman"/>
          <w:color w:val="000000"/>
          <w:sz w:val="24"/>
          <w:szCs w:val="24"/>
        </w:rPr>
        <w:t>3. В соответствии с оперативной обстановкой следует действовать согласно местному оперативному плану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b89cabe2c2e4e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