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водно-химической 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водно-химической обработки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водно-химической обработки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водно-химической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водно-химической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водно-химической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водно-химической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водно-химической обработки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водно-химической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водно-химической обработки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 водно-химической обработки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водно-химической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водно-химической обработки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 сенсибилизирующих, аллергических и раздражающих свойств легкогорючих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ионизирующих излучений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шероховатостина поверхности технологического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водно-химической обработки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Подготовку сырья производить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обеспечения безопасности при работе с барабанами, в которых проводятся жидкостные процессы, должны быть предусмотрены: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неподвижные металлические барьеры, которые размещаются позади и по бокам барабана и препятствуют подход к подвижным частям барабана;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металлические барьеры, которые в приподнятом положении останавливают барабан;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аварийная кнопка;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площадка с ограждением, оборудованной зажимами для фиксации передвижного поддона для безопасного предоставления сухих химматериалов.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Представление химматериалов для проведения жидкостных процессов должно выполняться как в автоматическом, так и в ручном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Обслуживающий персонал должен знать систему управления барабанами, техническую и технологическую документацию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Работник, выполняющий работы на рамных барабанах, должен знать систему увлажнения, автоматического подогрева, пылеулавливания, систему подачи в барабан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водно-химической обработки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приспособления, машины, механизмы и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edd338280547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