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аппретурщика для легкой промышленности (кожевенная, меховая, обувная)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аппретурщика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аппретурщика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аппретурщика;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аппретурщика;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аппретурщиками;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аппретурщика.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аппретурщиков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16.11.2020 N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аппретурщиком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аппретурщиком.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аппретурщик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аппретурщика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технологического оборудования, перемещаемые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ультразвука;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ионизирующих излучений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острые кромки, заусенцы и шероховатость на поверхности заготовок, инструмента 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расположение рабочего места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химические и токсические опасные и вредные производственные факторы, влияющие на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физические перегрузки (статические и динамические);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аппретурщиком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аппретурщик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Аппретурщик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аппретурщик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аппретурщик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Заправка ткани при белении, отжиме, сушке, аппретировании, ширении, стабилизации, термической обработке и механической усадке должны производиться на остановленном оборудовании с помощью приспособлений,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Укладывание ткани в ямы для лежания должно быть механизировано или автоматизировано.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укладывать ткани выше бортов ямы.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Загрузка и выгрузка вертикальных варочных котлов должны производиться с помощью механических или автоматических укладчиков.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Заправка полотна и лент в оборудование проходного типа (или агрегированного) должна проводиться с помощью заправочных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Процесс аппретирования должен проводиться на оборудовании, исключающем разбрызгивание аппрета и оборудованном местным вытяжным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8732e8133643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