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арбориста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для арбориста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на высоте, утвержденные </w:t>
      </w:r>
      <w:r>
        <w:rPr>
          <w:rFonts w:hAnsi="Times New Roman" w:cs="Times New Roman"/>
          <w:color w:val="000000"/>
          <w:sz w:val="24"/>
          <w:szCs w:val="24"/>
        </w:rPr>
        <w:t>приказом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арбористом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 перекрытия) и связанное с этим возможное падение работника или падение предметов на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обледенения, увлажнения, замасливания поверхностей грунта, пола, трапов, стремянок, лестниц, лесов, подмостей и т. п.);</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ветра (при работе на открытом воздухе);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инструментов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мест;</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на работника при выполнении работ на высоте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Световые;</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пожара;</w:t>
      </w:r>
    </w:p>
    <w:p>
      <w:pPr>
        <w:spacing w:line="240" w:lineRule="auto"/>
        <w:rPr>
          <w:rFonts w:hAnsi="Times New Roman" w:cs="Times New Roman"/>
          <w:color w:val="000000"/>
          <w:sz w:val="24"/>
          <w:szCs w:val="24"/>
        </w:rPr>
      </w:pPr>
      <w:r>
        <w:rPr>
          <w:rFonts w:hAnsi="Times New Roman" w:cs="Times New Roman"/>
          <w:color w:val="000000"/>
          <w:sz w:val="24"/>
          <w:szCs w:val="24"/>
        </w:rPr>
        <w:t>Химические;</w:t>
      </w:r>
    </w:p>
    <w:p>
      <w:pPr>
        <w:spacing w:line="240" w:lineRule="auto"/>
        <w:rPr>
          <w:rFonts w:hAnsi="Times New Roman" w:cs="Times New Roman"/>
          <w:color w:val="000000"/>
          <w:sz w:val="24"/>
          <w:szCs w:val="24"/>
        </w:rPr>
      </w:pPr>
      <w:r>
        <w:rPr>
          <w:rFonts w:hAnsi="Times New Roman" w:cs="Times New Roman"/>
          <w:color w:val="000000"/>
          <w:sz w:val="24"/>
          <w:szCs w:val="24"/>
        </w:rPr>
        <w:t>Связанные с микроклиматом;</w:t>
      </w:r>
    </w:p>
    <w:p>
      <w:pPr>
        <w:spacing w:line="240" w:lineRule="auto"/>
        <w:rPr>
          <w:rFonts w:hAnsi="Times New Roman" w:cs="Times New Roman"/>
          <w:color w:val="000000"/>
          <w:sz w:val="24"/>
          <w:szCs w:val="24"/>
        </w:rPr>
      </w:pPr>
      <w:r>
        <w:rPr>
          <w:rFonts w:hAnsi="Times New Roman" w:cs="Times New Roman"/>
          <w:color w:val="000000"/>
          <w:sz w:val="24"/>
          <w:szCs w:val="24"/>
        </w:rPr>
        <w:t>Связанные с воздействием аэрозолей;</w:t>
      </w:r>
    </w:p>
    <w:p>
      <w:pPr>
        <w:spacing w:line="240" w:lineRule="auto"/>
        <w:rPr>
          <w:rFonts w:hAnsi="Times New Roman" w:cs="Times New Roman"/>
          <w:color w:val="000000"/>
          <w:sz w:val="24"/>
          <w:szCs w:val="24"/>
        </w:rPr>
      </w:pPr>
      <w:r>
        <w:rPr>
          <w:rFonts w:hAnsi="Times New Roman" w:cs="Times New Roman"/>
          <w:color w:val="000000"/>
          <w:sz w:val="24"/>
          <w:szCs w:val="24"/>
        </w:rPr>
        <w:t>Связанные с транспортом.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 огороженный проем, оголенные провода и т. 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подготовить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До начала валки деревьев по частям должны быть выполнены подготовительные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Валка деревьев производится бензомоторной пилой.</w:t>
      </w:r>
    </w:p>
    <w:p>
      <w:pPr>
        <w:spacing w:line="240" w:lineRule="auto"/>
        <w:rPr>
          <w:rFonts w:hAnsi="Times New Roman" w:cs="Times New Roman"/>
          <w:color w:val="000000"/>
          <w:sz w:val="24"/>
          <w:szCs w:val="24"/>
        </w:rPr>
      </w:pPr>
      <w:r>
        <w:rPr>
          <w:rFonts w:hAnsi="Times New Roman" w:cs="Times New Roman"/>
          <w:color w:val="000000"/>
          <w:sz w:val="24"/>
          <w:szCs w:val="24"/>
        </w:rPr>
        <w:t>Арборист должен быть обеспечен следующим снаряжением:</w:t>
      </w:r>
    </w:p>
    <w:p>
      <w:pPr>
        <w:spacing w:line="240" w:lineRule="auto"/>
        <w:rPr>
          <w:rFonts w:hAnsi="Times New Roman" w:cs="Times New Roman"/>
          <w:color w:val="000000"/>
          <w:sz w:val="24"/>
          <w:szCs w:val="24"/>
        </w:rPr>
      </w:pPr>
      <w:r>
        <w:rPr>
          <w:rFonts w:hAnsi="Times New Roman" w:cs="Times New Roman"/>
          <w:color w:val="000000"/>
          <w:sz w:val="24"/>
          <w:szCs w:val="24"/>
        </w:rPr>
        <w:t>защитная каска;</w:t>
      </w:r>
    </w:p>
    <w:p>
      <w:pPr>
        <w:spacing w:line="240" w:lineRule="auto"/>
        <w:rPr>
          <w:rFonts w:hAnsi="Times New Roman" w:cs="Times New Roman"/>
          <w:color w:val="000000"/>
          <w:sz w:val="24"/>
          <w:szCs w:val="24"/>
        </w:rPr>
      </w:pPr>
      <w:r>
        <w:rPr>
          <w:rFonts w:hAnsi="Times New Roman" w:cs="Times New Roman"/>
          <w:color w:val="000000"/>
          <w:sz w:val="24"/>
          <w:szCs w:val="24"/>
        </w:rPr>
        <w:t>страховочная привязь;</w:t>
      </w:r>
    </w:p>
    <w:p>
      <w:pPr>
        <w:spacing w:line="240" w:lineRule="auto"/>
        <w:rPr>
          <w:rFonts w:hAnsi="Times New Roman" w:cs="Times New Roman"/>
          <w:color w:val="000000"/>
          <w:sz w:val="24"/>
          <w:szCs w:val="24"/>
        </w:rPr>
      </w:pPr>
      <w:r>
        <w:rPr>
          <w:rFonts w:hAnsi="Times New Roman" w:cs="Times New Roman"/>
          <w:color w:val="000000"/>
          <w:sz w:val="24"/>
          <w:szCs w:val="24"/>
        </w:rPr>
        <w:t>гаффы;</w:t>
      </w:r>
    </w:p>
    <w:p>
      <w:pPr>
        <w:spacing w:line="240" w:lineRule="auto"/>
        <w:rPr>
          <w:rFonts w:hAnsi="Times New Roman" w:cs="Times New Roman"/>
          <w:color w:val="000000"/>
          <w:sz w:val="24"/>
          <w:szCs w:val="24"/>
        </w:rPr>
      </w:pPr>
      <w:r>
        <w:rPr>
          <w:rFonts w:hAnsi="Times New Roman" w:cs="Times New Roman"/>
          <w:color w:val="000000"/>
          <w:sz w:val="24"/>
          <w:szCs w:val="24"/>
        </w:rPr>
        <w:t>охватка;</w:t>
      </w:r>
    </w:p>
    <w:p>
      <w:pPr>
        <w:spacing w:line="240" w:lineRule="auto"/>
        <w:rPr>
          <w:rFonts w:hAnsi="Times New Roman" w:cs="Times New Roman"/>
          <w:color w:val="000000"/>
          <w:sz w:val="24"/>
          <w:szCs w:val="24"/>
        </w:rPr>
      </w:pPr>
      <w:r>
        <w:rPr>
          <w:rFonts w:hAnsi="Times New Roman" w:cs="Times New Roman"/>
          <w:color w:val="000000"/>
          <w:sz w:val="24"/>
          <w:szCs w:val="24"/>
        </w:rPr>
        <w:t>карабины — 4 штуки;</w:t>
      </w:r>
    </w:p>
    <w:p>
      <w:pPr>
        <w:spacing w:line="240" w:lineRule="auto"/>
        <w:rPr>
          <w:rFonts w:hAnsi="Times New Roman" w:cs="Times New Roman"/>
          <w:color w:val="000000"/>
          <w:sz w:val="24"/>
          <w:szCs w:val="24"/>
        </w:rPr>
      </w:pPr>
      <w:r>
        <w:rPr>
          <w:rFonts w:hAnsi="Times New Roman" w:cs="Times New Roman"/>
          <w:color w:val="000000"/>
          <w:sz w:val="24"/>
          <w:szCs w:val="24"/>
        </w:rPr>
        <w:t>веревка —100 м;</w:t>
      </w:r>
    </w:p>
    <w:p>
      <w:pPr>
        <w:spacing w:line="240" w:lineRule="auto"/>
        <w:rPr>
          <w:rFonts w:hAnsi="Times New Roman" w:cs="Times New Roman"/>
          <w:color w:val="000000"/>
          <w:sz w:val="24"/>
          <w:szCs w:val="24"/>
        </w:rPr>
      </w:pPr>
      <w:r>
        <w:rPr>
          <w:rFonts w:hAnsi="Times New Roman" w:cs="Times New Roman"/>
          <w:color w:val="000000"/>
          <w:sz w:val="24"/>
          <w:szCs w:val="24"/>
        </w:rPr>
        <w:t>спусковое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пилящий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Технологическая последовательность валки леса:</w:t>
      </w:r>
    </w:p>
    <w:p>
      <w:pPr>
        <w:spacing w:line="240" w:lineRule="auto"/>
        <w:rPr>
          <w:rFonts w:hAnsi="Times New Roman" w:cs="Times New Roman"/>
          <w:color w:val="000000"/>
          <w:sz w:val="24"/>
          <w:szCs w:val="24"/>
        </w:rPr>
      </w:pPr>
      <w:r>
        <w:rPr>
          <w:rFonts w:hAnsi="Times New Roman" w:cs="Times New Roman"/>
          <w:color w:val="000000"/>
          <w:sz w:val="24"/>
          <w:szCs w:val="24"/>
        </w:rPr>
        <w:t>Уточнить направление валки отдельных деревьев с учетом общего направления валки, величины и направления наклона ствола, формы кроны, направления и силы ветра.</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подготовку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Оценка дерева перед вырубкой.</w:t>
      </w:r>
    </w:p>
    <w:p>
      <w:pPr>
        <w:spacing w:line="240" w:lineRule="auto"/>
        <w:rPr>
          <w:rFonts w:hAnsi="Times New Roman" w:cs="Times New Roman"/>
          <w:color w:val="000000"/>
          <w:sz w:val="24"/>
          <w:szCs w:val="24"/>
        </w:rPr>
      </w:pPr>
      <w:r>
        <w:rPr>
          <w:rFonts w:hAnsi="Times New Roman" w:cs="Times New Roman"/>
          <w:color w:val="000000"/>
          <w:sz w:val="24"/>
          <w:szCs w:val="24"/>
        </w:rPr>
        <w:t>Порядок проведения вырубки деревьев предполагает осмотр дерева перед выполнением работ и определение его естественного наклона, распределение веса веток и наиболее вероятное направление падения частей дерева.</w:t>
      </w:r>
    </w:p>
    <w:p>
      <w:pPr>
        <w:spacing w:line="240" w:lineRule="auto"/>
        <w:rPr>
          <w:rFonts w:hAnsi="Times New Roman" w:cs="Times New Roman"/>
          <w:color w:val="000000"/>
          <w:sz w:val="24"/>
          <w:szCs w:val="24"/>
        </w:rPr>
      </w:pPr>
      <w:r>
        <w:rPr>
          <w:rFonts w:hAnsi="Times New Roman" w:cs="Times New Roman"/>
          <w:color w:val="000000"/>
          <w:sz w:val="24"/>
          <w:szCs w:val="24"/>
        </w:rPr>
        <w:t>Осмотр дерева перед вырубкой.</w:t>
      </w:r>
    </w:p>
    <w:p>
      <w:pPr>
        <w:spacing w:line="240" w:lineRule="auto"/>
        <w:rPr>
          <w:rFonts w:hAnsi="Times New Roman" w:cs="Times New Roman"/>
          <w:color w:val="000000"/>
          <w:sz w:val="24"/>
          <w:szCs w:val="24"/>
        </w:rPr>
      </w:pPr>
      <w:r>
        <w:rPr>
          <w:rFonts w:hAnsi="Times New Roman" w:cs="Times New Roman"/>
          <w:color w:val="000000"/>
          <w:sz w:val="24"/>
          <w:szCs w:val="24"/>
        </w:rPr>
        <w:t>Осмотр основания дерева перед началом вырубки. Необходимо убедиться, что дерево устойчиво, осмотреть его на предмет наличия признаков нестабильности. Также проверить, нет ли гнилей в области корней дерева и не выходят ли они на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Определение способа падения дерева.</w:t>
      </w:r>
    </w:p>
    <w:p>
      <w:pPr>
        <w:spacing w:line="240" w:lineRule="auto"/>
        <w:rPr>
          <w:rFonts w:hAnsi="Times New Roman" w:cs="Times New Roman"/>
          <w:color w:val="000000"/>
          <w:sz w:val="24"/>
          <w:szCs w:val="24"/>
        </w:rPr>
      </w:pPr>
      <w:r>
        <w:rPr>
          <w:rFonts w:hAnsi="Times New Roman" w:cs="Times New Roman"/>
          <w:color w:val="000000"/>
          <w:sz w:val="24"/>
          <w:szCs w:val="24"/>
        </w:rPr>
        <w:t>Вес веток и листвы кроны дерева определяет направление его падения. Очерчивая коридор для укладки частей дерева в сторону естественного наклона необходимо убедится, что оно не зависнет в ветвях рядом растущих деревьев.</w:t>
      </w:r>
    </w:p>
    <w:p>
      <w:pPr>
        <w:spacing w:line="240" w:lineRule="auto"/>
        <w:rPr>
          <w:rFonts w:hAnsi="Times New Roman" w:cs="Times New Roman"/>
          <w:color w:val="000000"/>
          <w:sz w:val="24"/>
          <w:szCs w:val="24"/>
        </w:rPr>
      </w:pPr>
      <w:r>
        <w:rPr>
          <w:rFonts w:hAnsi="Times New Roman" w:cs="Times New Roman"/>
          <w:color w:val="000000"/>
          <w:sz w:val="24"/>
          <w:szCs w:val="24"/>
        </w:rPr>
        <w:t>Вырубка дерева:</w:t>
      </w:r>
    </w:p>
    <w:p>
      <w:pPr>
        <w:spacing w:line="240" w:lineRule="auto"/>
        <w:rPr>
          <w:rFonts w:hAnsi="Times New Roman" w:cs="Times New Roman"/>
          <w:color w:val="000000"/>
          <w:sz w:val="24"/>
          <w:szCs w:val="24"/>
        </w:rPr>
      </w:pPr>
      <w:r>
        <w:rPr>
          <w:rFonts w:hAnsi="Times New Roman" w:cs="Times New Roman"/>
          <w:color w:val="000000"/>
          <w:sz w:val="24"/>
          <w:szCs w:val="24"/>
        </w:rPr>
        <w:t>Убрать ветки а также предметы, мешающие арбористу, вокруг спиливаемого дерева. Следует расчистить пространство, так называемый коридор, в направлении под углом 45° от направления, противоположного направлению падения дерева.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Порядок валки дерева подразумевает подпиливание ствола: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ствол выпиливается с желаемой стороны падения дерева, поэтому важно убедиться, что выпиливание выполняется со стороны естественного наклона дерева;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необходимо выполнить горизонтальный срез дерева;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затем следует выполнить второй надрез под углом 45–60° к стволу дерева, его следует закончить в точке соприкосновения с первым, горизонтальным надрезом;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далее необходимо выполнить небольшой надрез коры под местом первого, горизонтального подпила по всей окружности дерева с целью предотвращения обрыва коры вниз по стволу в момент, когда часть дерева будет падать;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 стороны, противоположной падению дерева, необходимо выполнить подпил, или надрез, немного выше первого горизонтального надреза. Этот надрез должен практически соединиться с выпиленным под углом клином с противоположной стороны. Часть дерева должна начать валиться в направлении естественного наклона, соответственно, в направлении выпиленного клина;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когда часть дерева отошла от ствола, необходимо осуществить ее спуск вниз по веревке либо произвести сталкивание дерева вниз.</w:t>
      </w:r>
    </w:p>
    <w:p>
      <w:pPr>
        <w:spacing w:line="240" w:lineRule="auto"/>
        <w:rPr>
          <w:rFonts w:hAnsi="Times New Roman" w:cs="Times New Roman"/>
          <w:color w:val="000000"/>
          <w:sz w:val="24"/>
          <w:szCs w:val="24"/>
        </w:rPr>
      </w:pPr>
      <w:r>
        <w:rPr>
          <w:rFonts w:hAnsi="Times New Roman" w:cs="Times New Roman"/>
          <w:color w:val="000000"/>
          <w:sz w:val="24"/>
          <w:szCs w:val="24"/>
        </w:rPr>
        <w:t>Форма подпила зависит от диаметра дерева:</w:t>
      </w:r>
    </w:p>
    <w:p>
      <w:pPr>
        <w:spacing w:line="240" w:lineRule="auto"/>
        <w:rPr>
          <w:rFonts w:hAnsi="Times New Roman" w:cs="Times New Roman"/>
          <w:color w:val="000000"/>
          <w:sz w:val="24"/>
          <w:szCs w:val="24"/>
        </w:rPr>
      </w:pPr>
      <w:r>
        <w:rPr>
          <w:rFonts w:hAnsi="Times New Roman" w:cs="Times New Roman"/>
          <w:color w:val="000000"/>
          <w:sz w:val="24"/>
          <w:szCs w:val="24"/>
        </w:rPr>
        <w:t>до 18 см — подпил дерева выполнять одним резом;</w:t>
      </w:r>
    </w:p>
    <w:p>
      <w:pPr>
        <w:spacing w:line="240" w:lineRule="auto"/>
        <w:rPr>
          <w:rFonts w:hAnsi="Times New Roman" w:cs="Times New Roman"/>
          <w:color w:val="000000"/>
          <w:sz w:val="24"/>
          <w:szCs w:val="24"/>
        </w:rPr>
      </w:pPr>
      <w:r>
        <w:rPr>
          <w:rFonts w:hAnsi="Times New Roman" w:cs="Times New Roman"/>
          <w:color w:val="000000"/>
          <w:sz w:val="24"/>
          <w:szCs w:val="24"/>
        </w:rPr>
        <w:t>от 18 до 50 см — треугольным резом;</w:t>
      </w:r>
    </w:p>
    <w:p>
      <w:pPr>
        <w:spacing w:line="240" w:lineRule="auto"/>
        <w:rPr>
          <w:rFonts w:hAnsi="Times New Roman" w:cs="Times New Roman"/>
          <w:color w:val="000000"/>
          <w:sz w:val="24"/>
          <w:szCs w:val="24"/>
        </w:rPr>
      </w:pPr>
      <w:r>
        <w:rPr>
          <w:rFonts w:hAnsi="Times New Roman" w:cs="Times New Roman"/>
          <w:color w:val="000000"/>
          <w:sz w:val="24"/>
          <w:szCs w:val="24"/>
        </w:rPr>
        <w:t>более 50 см — резом прямоугольной формы.</w:t>
      </w:r>
    </w:p>
    <w:p>
      <w:pPr>
        <w:spacing w:line="240" w:lineRule="auto"/>
        <w:rPr>
          <w:rFonts w:hAnsi="Times New Roman" w:cs="Times New Roman"/>
          <w:color w:val="000000"/>
          <w:sz w:val="24"/>
          <w:szCs w:val="24"/>
        </w:rPr>
      </w:pPr>
      <w:r>
        <w:rPr>
          <w:rFonts w:hAnsi="Times New Roman" w:cs="Times New Roman"/>
          <w:color w:val="000000"/>
          <w:sz w:val="24"/>
          <w:szCs w:val="24"/>
        </w:rPr>
        <w:t>Деревья диаметром меньше 20 см валить, упираясь в ствол рукой; более 20 см — сталкивать гидроклином.</w:t>
      </w:r>
    </w:p>
    <w:p>
      <w:pPr>
        <w:spacing w:line="240" w:lineRule="auto"/>
        <w:rPr>
          <w:rFonts w:hAnsi="Times New Roman" w:cs="Times New Roman"/>
          <w:color w:val="000000"/>
          <w:sz w:val="24"/>
          <w:szCs w:val="24"/>
        </w:rPr>
      </w:pPr>
      <w:r>
        <w:rPr>
          <w:rFonts w:hAnsi="Times New Roman" w:cs="Times New Roman"/>
          <w:color w:val="000000"/>
          <w:sz w:val="24"/>
          <w:szCs w:val="24"/>
        </w:rPr>
        <w:t>5.1.2. Высота пня должна быть 1/3 диаметра среза, но не выше 10 см от шейки корня, а на пикетах ВЛ — заподлицо с землей.</w:t>
      </w:r>
    </w:p>
    <w:p>
      <w:pPr>
        <w:spacing w:line="240" w:lineRule="auto"/>
        <w:rPr>
          <w:rFonts w:hAnsi="Times New Roman" w:cs="Times New Roman"/>
          <w:color w:val="000000"/>
          <w:sz w:val="24"/>
          <w:szCs w:val="24"/>
        </w:rPr>
      </w:pPr>
      <w:r>
        <w:rPr>
          <w:rFonts w:hAnsi="Times New Roman" w:cs="Times New Roman"/>
          <w:color w:val="000000"/>
          <w:sz w:val="24"/>
          <w:szCs w:val="24"/>
        </w:rPr>
        <w:t>5.1.3. При валке деревьев необходимо строго соблюдать требования техники безопасности. Особое внимание необходимо обратить на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Во время валки деревьев на территории опасной зоны (в радиусе 60 м) производить другие работы запрещено. Опасную зону обозначить предупредительными знаками.</w:t>
      </w:r>
    </w:p>
    <w:p>
      <w:pPr>
        <w:spacing w:line="240" w:lineRule="auto"/>
        <w:rPr>
          <w:rFonts w:hAnsi="Times New Roman" w:cs="Times New Roman"/>
          <w:color w:val="000000"/>
          <w:sz w:val="24"/>
          <w:szCs w:val="24"/>
        </w:rPr>
      </w:pPr>
      <w:r>
        <w:rPr>
          <w:rFonts w:hAnsi="Times New Roman" w:cs="Times New Roman"/>
          <w:color w:val="000000"/>
          <w:sz w:val="24"/>
          <w:szCs w:val="24"/>
        </w:rPr>
        <w:t>Заправку бензомоторной пилы горюче-смазочными материалами производить только при неработающем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Переходы от дерева к дереву с бензомоторной пилой осуществлять при работе двигателя на малых оборотах.</w:t>
      </w:r>
    </w:p>
    <w:p>
      <w:pPr>
        <w:spacing w:line="240" w:lineRule="auto"/>
        <w:rPr>
          <w:rFonts w:hAnsi="Times New Roman" w:cs="Times New Roman"/>
          <w:color w:val="000000"/>
          <w:sz w:val="24"/>
          <w:szCs w:val="24"/>
        </w:rPr>
      </w:pPr>
      <w:r>
        <w:rPr>
          <w:rFonts w:hAnsi="Times New Roman" w:cs="Times New Roman"/>
          <w:color w:val="000000"/>
          <w:sz w:val="24"/>
          <w:szCs w:val="24"/>
        </w:rPr>
        <w:t>Недопиленные или зависшие в процессе валки деревья во время перерыва или по окончании работы оставлять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Когти и лазы должны выдерживать статическую нагрузку 1765 Н (180 кгс) без остаточной деформации.</w:t>
      </w:r>
    </w:p>
    <w:p>
      <w:pPr>
        <w:spacing w:line="240" w:lineRule="auto"/>
        <w:rPr>
          <w:rFonts w:hAnsi="Times New Roman" w:cs="Times New Roman"/>
          <w:color w:val="000000"/>
          <w:sz w:val="24"/>
          <w:szCs w:val="24"/>
        </w:rPr>
      </w:pPr>
      <w:r>
        <w:rPr>
          <w:rFonts w:hAnsi="Times New Roman" w:cs="Times New Roman"/>
          <w:color w:val="000000"/>
          <w:sz w:val="24"/>
          <w:szCs w:val="24"/>
        </w:rPr>
        <w:t>5.1.5. Срок службы когтей, лазов (кроме шипов) устанавливается в документации (инструкции)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5.1.6. На подножке когтя, лаза должны быть нанесены:</w:t>
      </w:r>
    </w:p>
    <w:p>
      <w:pPr>
        <w:spacing w:line="240" w:lineRule="auto"/>
        <w:rPr>
          <w:rFonts w:hAnsi="Times New Roman" w:cs="Times New Roman"/>
          <w:color w:val="000000"/>
          <w:sz w:val="24"/>
          <w:szCs w:val="24"/>
        </w:rPr>
      </w:pPr>
      <w:r>
        <w:rPr>
          <w:rFonts w:hAnsi="Times New Roman" w:cs="Times New Roman"/>
          <w:color w:val="000000"/>
          <w:sz w:val="24"/>
          <w:szCs w:val="24"/>
        </w:rPr>
        <w:t>товарный знак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номер;</w:t>
      </w:r>
    </w:p>
    <w:p>
      <w:pPr>
        <w:spacing w:line="240" w:lineRule="auto"/>
        <w:rPr>
          <w:rFonts w:hAnsi="Times New Roman" w:cs="Times New Roman"/>
          <w:color w:val="000000"/>
          <w:sz w:val="24"/>
          <w:szCs w:val="24"/>
        </w:rPr>
      </w:pPr>
      <w:r>
        <w:rPr>
          <w:rFonts w:hAnsi="Times New Roman" w:cs="Times New Roman"/>
          <w:color w:val="000000"/>
          <w:sz w:val="24"/>
          <w:szCs w:val="24"/>
        </w:rPr>
        <w:t>дата изготовления.</w:t>
      </w:r>
    </w:p>
    <w:p>
      <w:pPr>
        <w:spacing w:line="240" w:lineRule="auto"/>
        <w:rPr>
          <w:rFonts w:hAnsi="Times New Roman" w:cs="Times New Roman"/>
          <w:color w:val="000000"/>
          <w:sz w:val="24"/>
          <w:szCs w:val="24"/>
        </w:rPr>
      </w:pPr>
      <w:r>
        <w:rPr>
          <w:rFonts w:hAnsi="Times New Roman" w:cs="Times New Roman"/>
          <w:color w:val="000000"/>
          <w:sz w:val="24"/>
          <w:szCs w:val="24"/>
        </w:rPr>
        <w:t>5.1.7. Когти и лазы подлежат осмотру до и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5.1.8. Обслуживание и периодические проверки когтей и лазов проводятся на основании эксплуатационной документации (инструкции)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использовать когти и лазы для подъема на обледенелые опоры, при наличии гололедно-изморозевых отложений на проводах и конструкциях опор линий, создающих нерасчетную нагрузку на опоры, а также при температуре воздуха ниже допустимой, указанной в инструкции по эксплуатации изготовителя когтей или лаз.</w:t>
      </w:r>
    </w:p>
    <w:p>
      <w:pPr>
        <w:spacing w:line="240" w:lineRule="auto"/>
        <w:rPr>
          <w:rFonts w:hAnsi="Times New Roman" w:cs="Times New Roman"/>
          <w:color w:val="000000"/>
          <w:sz w:val="24"/>
          <w:szCs w:val="24"/>
        </w:rPr>
      </w:pPr>
      <w:r>
        <w:rPr>
          <w:rFonts w:hAnsi="Times New Roman" w:cs="Times New Roman"/>
          <w:color w:val="000000"/>
          <w:sz w:val="24"/>
          <w:szCs w:val="24"/>
        </w:rPr>
        <w:t>5.1.10. Оборудование, механизмы, ручной механизированный и другой инструмент, инвентарь, приспособления и материалы, используемые при выполнении работы на высоте, должны применяться с обеспечением мер безопасности, исключающих их падение (размещение в сумках и подсумках, крепление, строповка, размещение на достаточном удалении от границы перепада высот или закрепление к страховочной привязи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5.1.11. Инструменты, инвентарь, приспособления и материалы весом более 10 кг должны быть подвешены на отдельном канате с независимым анкерным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5.1.12. После окончания работы на высоте оборудование, механизмы, средства малой механизации, ручной инструмент должны быть сняты с высоты.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падение предметов с высоты, разрушающиеся конструкции, обрушающаяся порода, насыпь по причине физического износа, истечения срока эксплуатации, по причине нахождения в зоне возможного падения, заваливания, обрушения, разрушения, сползания материалов, предметов, конструкций. Выполнение работ на одном объекте одновременно в двух и более уровнях по высоте;</w:t>
      </w:r>
    </w:p>
    <w:p>
      <w:pPr>
        <w:spacing w:line="240" w:lineRule="auto"/>
        <w:rPr>
          <w:rFonts w:hAnsi="Times New Roman" w:cs="Times New Roman"/>
          <w:color w:val="000000"/>
          <w:sz w:val="24"/>
          <w:szCs w:val="24"/>
        </w:rPr>
      </w:pPr>
      <w:r>
        <w:rPr>
          <w:rFonts w:hAnsi="Times New Roman" w:cs="Times New Roman"/>
          <w:color w:val="000000"/>
          <w:sz w:val="24"/>
          <w:szCs w:val="24"/>
        </w:rPr>
        <w:t>возможность падения с высоты по причине нахождения на расстоянии менее 2 м от неогражденных перепадов по высоте 1,8 м и более, при неприменении (или неправильном применении) страховочной привязи и страховочного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Если во время работы работник почувствовал хотя бы слабое действие электрического тока, он должен немедленно прекратить работу, отключить оборудование, инструмент от сети и сообщить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признаков горения (задымление, запах гари и пр.) или в случае пожара необходимо прекратить работу, по возможности отключить электрооборудование, сообщить о случившемся руководству и вызвать пожарную охрану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16222d9ff6842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