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директора производственной базы по заготовкам и хранению зерна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директора производственной базы по заготовкам и хранению зерна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директора производственной базы по заготовкам и хранению зерна;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директора производственной базы по заготовкам и хранению зерна;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директором производственной базы по заготовкам и хранению зерна;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директором производственной базы по заготовкам и хранению зерна.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директора производственной базы по заготовкам и хранению зерна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его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директора производственной базы по заготовкам и хранению зерна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Директор производственной базы по заготовкам и хранению зерна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Директор производственной базы по заготовкам и хранению зерна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Директор производственной базы по заготовкам и хранению зерна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директора производственной базы по заготовкам и хранению зерна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директора производственной базы по заготовкам и хранению зерна возможно воздействие следующих опасных 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перемещающиеся и складируемые грузы;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поверхности инструментов, оборудования и др.;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профессиональных рисков и опасностей дирекции,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Директор производственной базы по заготовкам и хранению зерна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на рабочем месте, убедиться в отсутствии бликов на экране;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 системного блока, монитора;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(офисного кресла), угла наклона экрана, положение клавиатуры, положение «мыши», при необходимости произвести регулировку рабочего стола и кресла, а также расположение элементов ПЭВМ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подготовить свое рабочее место. Убрать все лишние предметы, не требующиеся для выполнения текущей работы (коробки, сумки, папки, книги и т.п.).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4.4.5 Директор производственной базы по заготовкам и хранению зерна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4.5. Директор производственной базы по заготовкам и хранению зерна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5.1.12. Следить, чтобы во время складирования: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размещались по технологическим картам с указанием мест размещения, размеров проходов и проездов;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допускалось при размещении груза загромождение подходов к противопожарному инвентарю, гидрантам и выходам из помещений;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допускалось размещение грузов (в том числе на погрузочно-разгрузочных площадках и в местах временного хранения) вплотную к стенам здания, колоннам и оборудованию, штабель к штабелю;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соблюдалось расстояние между грузом и стеной, колонной, перекрытием здания, которое должно быть не менее 1 м, между грузом и светильником – не менее 0,5 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допускалась высота штабеля при ручной погрузке более 3 м, при применении механизмов для подъема груза – более 6 м. Ширина проездов между штабелями должна определяться габаритами транспортных средств, транспортируемых грузов и погрузочно-разгрузочных машин;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должны быть уложены в таре и кипах в устойчивые штабеля, грузы в мешках и кулях – в штабеля вперевязку. Грузы в рваной таре укладывать в штабеля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размещались ящики и кипы в закрытых помещениях с обеспечением ширины главного прохода не менее 3–5 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размещались грузы, хранящиеся навалом, в штабеля с крутизной откоса, соответствующей углу естественного откоса для данного материала. При необходимости такие штабеля должны быть огорожены защитными решетками;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размещались крупногабаритные и тяжеловесные грузы в один ряд на подкладках.</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тем, чтобы пыль с пола помещений как тарного, так и бестарного хранения зерна убиралась не реже одного раза в смену, со стен – по мере накопления.</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5.1.16. Находясь на территории в производственных и бытовых помещениях, на участках работ и рабочих местах,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5.1.17. Допуск посторонних лиц, а также распитие спиртных напитков в указанных местах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5.1.18.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5.1.19. Заметив нарушение требований охраны труда другим работником, работник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5.1.22.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5.1.23.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5.1.23.2.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Директор производственной базы по заготовкам и хранению зерна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Директор производственной базы по заготовкам и хранению зерна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директора производственной базы по заготовкам и хранению зерна,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директора производственной базы по заготовкам и хранению зерна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директором производственной базы по заготовкам и хранению зерна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директора производственной базы по заготовкам и хранению зерна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112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 меры по тушению пожара в начальной стадии, приступить к тушению пожара имеющимися средствами пожаротушения; при обнаружении возгорания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быстро, не поддаваясь панике, приступить к тушению пожара, используя все доступные средства (песок, воду, огнетушители и т. д.);</w:t>
      </w:r>
    </w:p>
    <w:p>
      <w:pPr>
        <w:spacing w:line="240" w:lineRule="auto"/>
        <w:rPr>
          <w:rFonts w:hAnsi="Times New Roman" w:cs="Times New Roman"/>
          <w:color w:val="000000"/>
          <w:sz w:val="24"/>
          <w:szCs w:val="24"/>
        </w:rPr>
      </w:pPr>
      <w:r>
        <w:rPr>
          <w:rFonts w:hAnsi="Times New Roman" w:cs="Times New Roman"/>
          <w:color w:val="000000"/>
          <w:sz w:val="24"/>
          <w:szCs w:val="24"/>
        </w:rPr>
        <w:t>– если потушить огонь в кратчайшее время невозможно, отключить электричество, перекрыть газ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 запрещено использовать для эвакуации лифт;</w:t>
      </w:r>
    </w:p>
    <w:p>
      <w:pPr>
        <w:spacing w:line="240" w:lineRule="auto"/>
        <w:rPr>
          <w:rFonts w:hAnsi="Times New Roman" w:cs="Times New Roman"/>
          <w:color w:val="000000"/>
          <w:sz w:val="24"/>
          <w:szCs w:val="24"/>
        </w:rPr>
      </w:pPr>
      <w:r>
        <w:rPr>
          <w:rFonts w:hAnsi="Times New Roman" w:cs="Times New Roman"/>
          <w:color w:val="000000"/>
          <w:sz w:val="24"/>
          <w:szCs w:val="24"/>
        </w:rPr>
        <w:t>– при невозможности самостоятельной эвакуации обозначить свое местоположение, вывесив из окна белую простыню или любой подходящий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 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spacing w:line="240" w:lineRule="auto"/>
        <w:rPr>
          <w:rFonts w:hAnsi="Times New Roman" w:cs="Times New Roman"/>
          <w:color w:val="000000"/>
          <w:sz w:val="24"/>
          <w:szCs w:val="24"/>
        </w:rPr>
      </w:pPr>
      <w:r>
        <w:rPr>
          <w:rFonts w:hAnsi="Times New Roman" w:cs="Times New Roman"/>
          <w:color w:val="000000"/>
          <w:sz w:val="24"/>
          <w:szCs w:val="24"/>
        </w:rPr>
        <w:t>– 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spacing w:line="240" w:lineRule="auto"/>
        <w:rPr>
          <w:rFonts w:hAnsi="Times New Roman" w:cs="Times New Roman"/>
          <w:color w:val="000000"/>
          <w:sz w:val="24"/>
          <w:szCs w:val="24"/>
        </w:rPr>
      </w:pPr>
      <w:r>
        <w:rPr>
          <w:rFonts w:hAnsi="Times New Roman" w:cs="Times New Roman"/>
          <w:color w:val="000000"/>
          <w:sz w:val="24"/>
          <w:szCs w:val="24"/>
        </w:rPr>
        <w:t>– не открывать окна, так как с поступлением кислорода огонь горит сильнее;</w:t>
      </w:r>
    </w:p>
    <w:p>
      <w:pPr>
        <w:spacing w:line="240" w:lineRule="auto"/>
        <w:rPr>
          <w:rFonts w:hAnsi="Times New Roman" w:cs="Times New Roman"/>
          <w:color w:val="000000"/>
          <w:sz w:val="24"/>
          <w:szCs w:val="24"/>
        </w:rPr>
      </w:pPr>
      <w:r>
        <w:rPr>
          <w:rFonts w:hAnsi="Times New Roman" w:cs="Times New Roman"/>
          <w:color w:val="000000"/>
          <w:sz w:val="24"/>
          <w:szCs w:val="24"/>
        </w:rPr>
        <w:t>– отыскивая пострадавших, окликать их;</w:t>
      </w:r>
    </w:p>
    <w:p>
      <w:pPr>
        <w:spacing w:line="240" w:lineRule="auto"/>
        <w:rPr>
          <w:rFonts w:hAnsi="Times New Roman" w:cs="Times New Roman"/>
          <w:color w:val="000000"/>
          <w:sz w:val="24"/>
          <w:szCs w:val="24"/>
        </w:rPr>
      </w:pPr>
      <w:r>
        <w:rPr>
          <w:rFonts w:hAnsi="Times New Roman" w:cs="Times New Roman"/>
          <w:color w:val="000000"/>
          <w:sz w:val="24"/>
          <w:szCs w:val="24"/>
        </w:rPr>
        <w:t>– если на человеке загорелась одежда, помочь сбросить ее либо накинуть на горящего любое плотно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spacing w:line="240" w:lineRule="auto"/>
        <w:rPr>
          <w:rFonts w:hAnsi="Times New Roman" w:cs="Times New Roman"/>
          <w:color w:val="000000"/>
          <w:sz w:val="24"/>
          <w:szCs w:val="24"/>
        </w:rPr>
      </w:pPr>
      <w:r>
        <w:rPr>
          <w:rFonts w:hAnsi="Times New Roman" w:cs="Times New Roman"/>
          <w:color w:val="000000"/>
          <w:sz w:val="24"/>
          <w:szCs w:val="24"/>
        </w:rPr>
        <w:t>– 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6.2.2. Целесообразные действия при взрыве (угрозе взрыва):</w:t>
      </w:r>
    </w:p>
    <w:p>
      <w:pPr>
        <w:spacing w:line="240" w:lineRule="auto"/>
        <w:rPr>
          <w:rFonts w:hAnsi="Times New Roman" w:cs="Times New Roman"/>
          <w:color w:val="000000"/>
          <w:sz w:val="24"/>
          <w:szCs w:val="24"/>
        </w:rPr>
      </w:pPr>
      <w:r>
        <w:rPr>
          <w:rFonts w:hAnsi="Times New Roman" w:cs="Times New Roman"/>
          <w:color w:val="000000"/>
          <w:sz w:val="24"/>
          <w:szCs w:val="24"/>
        </w:rPr>
        <w:t>– не подходить к взрывоопасным предметам и не трогать их;</w:t>
      </w:r>
    </w:p>
    <w:p>
      <w:pPr>
        <w:spacing w:line="240" w:lineRule="auto"/>
        <w:rPr>
          <w:rFonts w:hAnsi="Times New Roman" w:cs="Times New Roman"/>
          <w:color w:val="000000"/>
          <w:sz w:val="24"/>
          <w:szCs w:val="24"/>
        </w:rPr>
      </w:pPr>
      <w:r>
        <w:rPr>
          <w:rFonts w:hAnsi="Times New Roman" w:cs="Times New Roman"/>
          <w:color w:val="000000"/>
          <w:sz w:val="24"/>
          <w:szCs w:val="24"/>
        </w:rPr>
        <w:t>– при угрозе взрыва лечь на живот, защищая голову руками, дальше от окон, застекленных дверей, проходов, лестниц;</w:t>
      </w:r>
    </w:p>
    <w:p>
      <w:pPr>
        <w:spacing w:line="240" w:lineRule="auto"/>
        <w:rPr>
          <w:rFonts w:hAnsi="Times New Roman" w:cs="Times New Roman"/>
          <w:color w:val="000000"/>
          <w:sz w:val="24"/>
          <w:szCs w:val="24"/>
        </w:rPr>
      </w:pPr>
      <w:r>
        <w:rPr>
          <w:rFonts w:hAnsi="Times New Roman" w:cs="Times New Roman"/>
          <w:color w:val="000000"/>
          <w:sz w:val="24"/>
          <w:szCs w:val="24"/>
        </w:rPr>
        <w:t>– если произошел взрыв, принять меры к предотвращению пожара и паники, оказать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при повреждении здания пожаром или взрывом запрещается в него входить;</w:t>
      </w:r>
    </w:p>
    <w:p>
      <w:pPr>
        <w:spacing w:line="240" w:lineRule="auto"/>
        <w:rPr>
          <w:rFonts w:hAnsi="Times New Roman" w:cs="Times New Roman"/>
          <w:color w:val="000000"/>
          <w:sz w:val="24"/>
          <w:szCs w:val="24"/>
        </w:rPr>
      </w:pPr>
      <w:r>
        <w:rPr>
          <w:rFonts w:hAnsi="Times New Roman" w:cs="Times New Roman"/>
          <w:color w:val="000000"/>
          <w:sz w:val="24"/>
          <w:szCs w:val="24"/>
        </w:rPr>
        <w:t>– при нахождении вблизи взрывопожароопасного объекта соблюдать осторожность. Сирены и прерывистые гудки предприятий (транспортных средств) означают сигнал «Внимание всем!». Услышав его, немедленно включить громкоговоритель, радиоприемник или телевизор. Прослушать информационное сообщение о чрезвычайной ситуации и действовать согласно указаниям территориального управления ГО ЧС.</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возникновении/обнаружении несчастного случая для оказания первой помощи необходимо следовать следующему алгоритму:</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оценке обстановки и обеспечению безопасных условий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Вызов скорой медицинской помощи по телефону 103 или 112.</w:t>
      </w:r>
    </w:p>
    <w:p>
      <w:pPr>
        <w:spacing w:line="240" w:lineRule="auto"/>
        <w:rPr>
          <w:rFonts w:hAnsi="Times New Roman" w:cs="Times New Roman"/>
          <w:color w:val="000000"/>
          <w:sz w:val="24"/>
          <w:szCs w:val="24"/>
        </w:rPr>
      </w:pPr>
      <w:r>
        <w:rPr>
          <w:rFonts w:hAnsi="Times New Roman" w:cs="Times New Roman"/>
          <w:color w:val="000000"/>
          <w:sz w:val="24"/>
          <w:szCs w:val="24"/>
        </w:rPr>
        <w:t>– Определение наличия сознания у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восстановлению проходимости дыхательных путей и определению признаков жизни у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проведению сердечно-легочной реанимации до появления признаков жизни.</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поддержанию проходимости дыхательных путей:</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обзорному осмотру пострадавшего и временной остановке наружного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подробному осмотру пострадавшего в целях выявления признаков травм, отравлений и других состояний, угрожающих его жизни и здоровью, и по оказанию первой помощи в случае выявления указанных состояний.</w:t>
      </w:r>
    </w:p>
    <w:p>
      <w:pPr>
        <w:spacing w:line="240" w:lineRule="auto"/>
        <w:rPr>
          <w:rFonts w:hAnsi="Times New Roman" w:cs="Times New Roman"/>
          <w:color w:val="000000"/>
          <w:sz w:val="24"/>
          <w:szCs w:val="24"/>
        </w:rPr>
      </w:pPr>
      <w:r>
        <w:rPr>
          <w:rFonts w:hAnsi="Times New Roman" w:cs="Times New Roman"/>
          <w:color w:val="000000"/>
          <w:sz w:val="24"/>
          <w:szCs w:val="24"/>
        </w:rPr>
        <w:t>– Придание пострадавшему оптимального положения тела.</w:t>
      </w:r>
    </w:p>
    <w:p>
      <w:pPr>
        <w:spacing w:line="240" w:lineRule="auto"/>
        <w:rPr>
          <w:rFonts w:hAnsi="Times New Roman" w:cs="Times New Roman"/>
          <w:color w:val="000000"/>
          <w:sz w:val="24"/>
          <w:szCs w:val="24"/>
        </w:rPr>
      </w:pPr>
      <w:r>
        <w:rPr>
          <w:rFonts w:hAnsi="Times New Roman" w:cs="Times New Roman"/>
          <w:color w:val="000000"/>
          <w:sz w:val="24"/>
          <w:szCs w:val="24"/>
        </w:rPr>
        <w:t>– Контроль состояния пострадавшего (сознание, дыхание, кровообращение) и оказание психологической поддержки.</w:t>
      </w:r>
    </w:p>
    <w:p>
      <w:pPr>
        <w:spacing w:line="240" w:lineRule="auto"/>
        <w:rPr>
          <w:rFonts w:hAnsi="Times New Roman" w:cs="Times New Roman"/>
          <w:color w:val="000000"/>
          <w:sz w:val="24"/>
          <w:szCs w:val="24"/>
        </w:rPr>
      </w:pPr>
      <w:r>
        <w:rPr>
          <w:rFonts w:hAnsi="Times New Roman" w:cs="Times New Roman"/>
          <w:color w:val="000000"/>
          <w:sz w:val="24"/>
          <w:szCs w:val="24"/>
        </w:rPr>
        <w:t>– Передача пострадавшего бригаде скорой медицинской помощи, другим специальным службам, сотрудники которых обязаны оказывать первую помощь в соответствии с федеральным законом или со специальным правилом.</w:t>
      </w:r>
    </w:p>
    <w:p>
      <w:pPr>
        <w:spacing w:line="240" w:lineRule="auto"/>
        <w:rPr>
          <w:rFonts w:hAnsi="Times New Roman" w:cs="Times New Roman"/>
          <w:color w:val="000000"/>
          <w:sz w:val="24"/>
          <w:szCs w:val="24"/>
        </w:rPr>
      </w:pPr>
      <w:r>
        <w:rPr>
          <w:rFonts w:hAnsi="Times New Roman" w:cs="Times New Roman"/>
          <w:color w:val="000000"/>
          <w:sz w:val="24"/>
          <w:szCs w:val="24"/>
        </w:rPr>
        <w:t>– По возможности место происшествия оставить в первоначальном виде.</w:t>
      </w:r>
    </w:p>
    <w:p>
      <w:pPr>
        <w:spacing w:line="240" w:lineRule="auto"/>
        <w:rPr>
          <w:rFonts w:hAnsi="Times New Roman" w:cs="Times New Roman"/>
          <w:color w:val="000000"/>
          <w:sz w:val="24"/>
          <w:szCs w:val="24"/>
        </w:rPr>
      </w:pPr>
      <w:r>
        <w:rPr>
          <w:rFonts w:hAnsi="Times New Roman" w:cs="Times New Roman"/>
          <w:color w:val="000000"/>
          <w:sz w:val="24"/>
          <w:szCs w:val="24"/>
        </w:rPr>
        <w:t>6.2.4. Работы по ликвидации аварийных ситуаций должны проводиться в соответствии с разработанным планом организации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на ПЭВМ необходимо отключить питание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директор производственной базы по заготовкам и хранению зерна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03a4b2a2d7144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