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сварщика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главного сварщика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выполнении электросварочных и газосварочных работ, утвержденные </w:t>
      </w:r>
      <w:r>
        <w:rPr>
          <w:rFonts w:hAnsi="Times New Roman" w:cs="Times New Roman"/>
          <w:color w:val="000000"/>
          <w:sz w:val="24"/>
          <w:szCs w:val="24"/>
        </w:rPr>
        <w:t>приказом Минтруда России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главного сварщика.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имеющие специальное образование,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спотыкания о препятствия во время ходьбы;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при осуществлении процесса сварки;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 (пола), которое может вызвать падение работника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труднодоступных и замкнутых пространствах;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подъемные сооружения, перемещаемые материалы и инструмент;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выполн1ении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 исправность электрической розетки и других электроустановочных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корпус включаемого оборудования не поврежден, что на нем не находятся предметы, бумага и т. п.</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 (пускателей,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4.4.2.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2b356787aa64a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