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главного врача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главного врача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главного врача;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главного врача;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с главным врача;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главного врача.</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главного врача при выполнении им трудовых обязанностей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в медицинских организациях, утвержденные </w:t>
      </w:r>
      <w:r>
        <w:rPr>
          <w:rFonts w:hAnsi="Times New Roman" w:cs="Times New Roman"/>
          <w:color w:val="000000"/>
          <w:sz w:val="24"/>
          <w:szCs w:val="24"/>
        </w:rPr>
        <w:t>приказом Минтруда от 18.12.2020 № 928н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главным врачом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Главный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Главный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Главный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возможно воздействие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1) 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2) 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3) 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тяжесть трудового процесса - показатели физической нагрузки на опорно-двигательный аппарат и на функциональные системы организма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 напряженность трудового процесса - показатели сенсорной нагрузки на центральную нервную систему и органы чувств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6) 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w:t>
      </w:r>
      <w:r>
        <w:rPr>
          <w:rFonts w:hAnsi="Times New Roman" w:cs="Times New Roman"/>
          <w:color w:val="000000"/>
          <w:sz w:val="24"/>
          <w:szCs w:val="24"/>
        </w:rPr>
        <w:t xml:space="preserve">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Главный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должен осмотреть приборы, медицинское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4.1.2. Перед использованием медицинского оборудования работник должен предварительно ознакомиться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работе главный врач должен проверить исправность оборудования, правильность подключения оборудования к электросети. Убедиться внешним осмотром в отсутствии механических повреждений шнуров электропитания и корпусов средств оргтехники,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нужно убедиться в достаточности освещения кабинета, особенно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лично убедиться в том, что все меры, необходимые для обеспечения безопасности пациента и персонала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4.4.4. Подготовить рабочее место для безопасной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4.4.6. Запрещается приступать к выполнению работ при наличии следующих нарушений требований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инструмента, приспособлений и др.;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4.4.7. При работе главный врач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состоянием оборудования, приспособлений, инструмента,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поломок, неисправностей оборудования,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подключении изделий медицинской техники запрещается использование переходников и удлинителей.</w:t>
      </w:r>
    </w:p>
    <w:p>
      <w:pPr>
        <w:spacing w:line="240" w:lineRule="auto"/>
        <w:rPr>
          <w:rFonts w:hAnsi="Times New Roman" w:cs="Times New Roman"/>
          <w:color w:val="000000"/>
          <w:sz w:val="24"/>
          <w:szCs w:val="24"/>
        </w:rPr>
      </w:pPr>
      <w:r>
        <w:rPr>
          <w:rFonts w:hAnsi="Times New Roman" w:cs="Times New Roman"/>
          <w:color w:val="000000"/>
          <w:sz w:val="24"/>
          <w:szCs w:val="24"/>
        </w:rPr>
        <w:t>5.1.7. Работнику запрещается использовать медицинское оборудование, не ознакомившись предварительно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применять изделия медицинской техники, подсоединяемые к пациенту, если не известна степень их защиты, особенно в комплексе с другими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применять электрообогреватели без защитных ограждающих устройств и другие электропотребители, имеющие доступные для прикосновения части,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медикаментами убедиться в наличии этикетки на таре, сроке годности лекарства, правильности его хранения.</w:t>
      </w:r>
    </w:p>
    <w:p>
      <w:pPr>
        <w:spacing w:line="240" w:lineRule="auto"/>
        <w:rPr>
          <w:rFonts w:hAnsi="Times New Roman" w:cs="Times New Roman"/>
          <w:color w:val="000000"/>
          <w:sz w:val="24"/>
          <w:szCs w:val="24"/>
        </w:rPr>
      </w:pPr>
      <w:r>
        <w:rPr>
          <w:rFonts w:hAnsi="Times New Roman" w:cs="Times New Roman"/>
          <w:color w:val="000000"/>
          <w:sz w:val="24"/>
          <w:szCs w:val="24"/>
        </w:rPr>
        <w:t>5.1.11. Работнику запрещается при проведении процедур с помощью электромедицинской аппаратуры оставлять пациента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5.1.12. Для предупреждения случаев травматизма не следует выполнять работу при недостаточном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5.1.13. С целью снижения зрительного и костно-мышечного утомления следует соблюдать установленный режим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5.1.14. Для снятия зрительного и позотонического напряжения в процессе работы следует устраивать микропаузы продолжительностью 1-3 мин.</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регламентированных перерывов с целью снижения нервно-эмоционального напряжения, утомления зрительного анализатора, устранения влияния гиподинамии и гипокинезии, предотвращения развития позотонического утомления рекомендуется выполнять специальные комплексы физических упражнений.</w:t>
      </w:r>
    </w:p>
    <w:p>
      <w:pPr>
        <w:spacing w:line="240" w:lineRule="auto"/>
        <w:rPr>
          <w:rFonts w:hAnsi="Times New Roman" w:cs="Times New Roman"/>
          <w:color w:val="000000"/>
          <w:sz w:val="24"/>
          <w:szCs w:val="24"/>
        </w:rPr>
      </w:pPr>
      <w:r>
        <w:rPr>
          <w:rFonts w:hAnsi="Times New Roman" w:cs="Times New Roman"/>
          <w:color w:val="000000"/>
          <w:sz w:val="24"/>
          <w:szCs w:val="24"/>
        </w:rPr>
        <w:t>5.1.16. Все работы на копировально-множительной технике должны выполняться в соответствии с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5.1.17. Копировально-множительная техника, имеющая любые дефекты или неисправности, оказывающие влияние на безопасность труда, не должна допускаться к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5.1.18. Во избежание возможности возникновения пожара нельзя допускать скопление бумажной пыли на конструктивных элементах копировально-множительной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5.1.19. В процессе работы правильно применять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5.1.20.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включением проверять исправность выключателей, электрических предохранителей, целостность электропроводки, электрических шнуров, штепсельных вилок, розеток, ламповых патронов и пр.;</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5.1.21. При выполнении работ применять резиновые перчатки, избегать уколов и порезов. Перчатки, снятые единожды, повторно не использовать. Все повреждения на коже рук перед надеванием перчаток заклеивать клеем БФ или лейкопластырем.</w:t>
      </w:r>
    </w:p>
    <w:p>
      <w:pPr>
        <w:spacing w:line="240" w:lineRule="auto"/>
        <w:rPr>
          <w:rFonts w:hAnsi="Times New Roman" w:cs="Times New Roman"/>
          <w:color w:val="000000"/>
          <w:sz w:val="24"/>
          <w:szCs w:val="24"/>
        </w:rPr>
      </w:pPr>
      <w:r>
        <w:rPr>
          <w:rFonts w:hAnsi="Times New Roman" w:cs="Times New Roman"/>
          <w:color w:val="000000"/>
          <w:sz w:val="24"/>
          <w:szCs w:val="24"/>
        </w:rPr>
        <w:t>5.1.22. Во время проведения исследований не касаться руками в перчатках своих глаз, носа, рта, незащищенных участков кожи, избегать контакта слизистых оболочек с биологическими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5.1.23. При осуществлении лечебного процесса не допускать попадания на открытые поверхности кожи лекарственных аллергенов (антибиотиков, новокаина, полимеров и т.д.).</w:t>
      </w:r>
    </w:p>
    <w:p>
      <w:pPr>
        <w:spacing w:line="240" w:lineRule="auto"/>
        <w:rPr>
          <w:rFonts w:hAnsi="Times New Roman" w:cs="Times New Roman"/>
          <w:color w:val="000000"/>
          <w:sz w:val="24"/>
          <w:szCs w:val="24"/>
        </w:rPr>
      </w:pPr>
      <w:r>
        <w:rPr>
          <w:rFonts w:hAnsi="Times New Roman" w:cs="Times New Roman"/>
          <w:color w:val="000000"/>
          <w:sz w:val="24"/>
          <w:szCs w:val="24"/>
        </w:rPr>
        <w:t>5.1.24. Соблюдать правила консервирования и хранения биологического материала, правила утилизации медицинских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5.1.25. После выполнения любых процедур и снятия перчаток руки тщательно промыть с мылом под теплой проточной водой не менее 10 секунд. Не использовать для мытья рук жесткие щетки. При вытирании рук использовать только индивидуальное полотенце. Смену перчаток необходимо проводить после каждого пациента. Не допускать повторного использования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5.1.26. При выполнении работ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реактивы без этикеток, а также какие-либо вещества неизвестного происхождения;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приспособлений, вносить изменения в конструкцию оборудования или их регулировку;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ненадлежащим образом;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предохранительные устройства во время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приспособлениями, измерительными приборами, оборудованием, а также приборами и оборудованием, обращению с которыми работник не обучен;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работе необученных посторонних лиц;</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оборудование включенным после выполнения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Главный врач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Главный врач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главного врача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главного врача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главным врачом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его эксплуатацию, а также подачу к нему электроэнергии, газа, воды, воздуха;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о принятых мерах непосредственному руководителю (лицу, ответственному за безопасную эксплуатацию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Работник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неисправностей оборудования, инструмента, приспособления, а также при возникновении иных условий, угрожающих жизни и здоровью людей, работнику следует прекратить работу и сообщить о них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6.2.4. В аварийной обстановке: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оборудование от сети, систем подачи газа, воды, воздуха;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непосредственному руководителю о случившемся;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6.2.5. При появлении очага возгорания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вентиляцию, подачу к оборудованию электроэнергии, газа, воды, воздуха;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6.2.6.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7.2.1. Остановить работу оборудования, отключить подачу к нему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7.2.3. Инструмент и приспособления очистить и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7.2.4. В случае контакта рук с хлорными препаратами, кожу обработать ватным тампоном, смоченным 1% раствором гипосульфита натрия для нейтрализации остаточного количества хлора.</w:t>
      </w:r>
    </w:p>
    <w:p>
      <w:pPr>
        <w:spacing w:line="240" w:lineRule="auto"/>
        <w:rPr>
          <w:rFonts w:hAnsi="Times New Roman" w:cs="Times New Roman"/>
          <w:color w:val="000000"/>
          <w:sz w:val="24"/>
          <w:szCs w:val="24"/>
        </w:rPr>
      </w:pPr>
      <w:r>
        <w:rPr>
          <w:rFonts w:hAnsi="Times New Roman" w:cs="Times New Roman"/>
          <w:color w:val="000000"/>
          <w:sz w:val="24"/>
          <w:szCs w:val="24"/>
        </w:rPr>
        <w:t>7.2.5. После влажной уборки помещение облучить бактерицидными лампами и проветрить.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7.2. Порядок </w:t>
      </w:r>
      <w:r>
        <w:rPr>
          <w:rFonts w:hAnsi="Times New Roman" w:cs="Times New Roman"/>
          <w:b/>
          <w:bCs/>
          <w:color w:val="000000"/>
          <w:sz w:val="24"/>
          <w:szCs w:val="24"/>
        </w:rPr>
        <w:t>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76ee1f3718349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