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горного мастера буровзрывных работ БВР</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горного мастера буровзрывных работ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горного мастера буровзрывных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горного мастера буровзрывных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горного мастера буровзрывных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произошедших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горным мастером буровзрывных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горных мастеров буровзрывных работ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Приказ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горным мастером буровзрывных работ БВР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Мастер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мастера.</w:t>
      </w:r>
    </w:p>
    <w:p>
      <w:pPr>
        <w:spacing w:line="240" w:lineRule="auto"/>
        <w:rPr>
          <w:rFonts w:hAnsi="Times New Roman" w:cs="Times New Roman"/>
          <w:color w:val="000000"/>
          <w:sz w:val="24"/>
          <w:szCs w:val="24"/>
        </w:rPr>
      </w:pPr>
      <w:r>
        <w:rPr>
          <w:rFonts w:hAnsi="Times New Roman" w:cs="Times New Roman"/>
          <w:color w:val="000000"/>
          <w:sz w:val="24"/>
          <w:szCs w:val="24"/>
        </w:rPr>
        <w:t>3.3.1. Мастер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Мастер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горного мастера буровзрывных работ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изделий;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неровности поверхностей оборудования, инструмента,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 вредные вещества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возникновения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Мастер должен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горных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внешним осмотром: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применяемого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металлических нетоковедущих частей, которые могут оказаться под напряжением;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поверенных средств и приборов измерений;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4.4.2. Горные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материалов, инструментов, снаряжения,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обустройстве полевых баз на объектах работ с учетом природно-климатических условий района работ;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наличии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color w:val="000000"/>
          <w:sz w:val="24"/>
          <w:szCs w:val="24"/>
        </w:rPr>
        <w:t>4.4.5.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5.1.6. Горные работы осуществлять в соответствии с утвержденными проектами на разработку месторождений полезных ископаемых и планами развития горных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5.1.7. Высота уступа определяется проектом с учетом физико-механических свойств горных пород и полезного ископаемого, а также горно-геологических условий их залегания.</w:t>
      </w:r>
    </w:p>
    <w:p>
      <w:pPr>
        <w:spacing w:line="240" w:lineRule="auto"/>
        <w:rPr>
          <w:rFonts w:hAnsi="Times New Roman" w:cs="Times New Roman"/>
          <w:color w:val="000000"/>
          <w:sz w:val="24"/>
          <w:szCs w:val="24"/>
        </w:rPr>
      </w:pPr>
      <w:r>
        <w:rPr>
          <w:rFonts w:hAnsi="Times New Roman" w:cs="Times New Roman"/>
          <w:color w:val="000000"/>
          <w:sz w:val="24"/>
          <w:szCs w:val="24"/>
        </w:rPr>
        <w:t>5.1.8. Высота уступа не должна превышать:</w:t>
      </w:r>
    </w:p>
    <w:p>
      <w:pPr>
        <w:spacing w:line="240" w:lineRule="auto"/>
        <w:rPr>
          <w:rFonts w:hAnsi="Times New Roman" w:cs="Times New Roman"/>
          <w:color w:val="000000"/>
          <w:sz w:val="24"/>
          <w:szCs w:val="24"/>
        </w:rPr>
      </w:pPr>
      <w:r>
        <w:rPr>
          <w:rFonts w:hAnsi="Times New Roman" w:cs="Times New Roman"/>
          <w:color w:val="000000"/>
          <w:sz w:val="24"/>
          <w:szCs w:val="24"/>
        </w:rPr>
        <w:t>- при разработке одноковшовыми экскаваторами типа механической лопаты без применения взрывных работ - максимальную высоту черпания экскаваторов;</w:t>
      </w:r>
    </w:p>
    <w:p>
      <w:pPr>
        <w:spacing w:line="240" w:lineRule="auto"/>
        <w:rPr>
          <w:rFonts w:hAnsi="Times New Roman" w:cs="Times New Roman"/>
          <w:color w:val="000000"/>
          <w:sz w:val="24"/>
          <w:szCs w:val="24"/>
        </w:rPr>
      </w:pPr>
      <w:r>
        <w:rPr>
          <w:rFonts w:hAnsi="Times New Roman" w:cs="Times New Roman"/>
          <w:color w:val="000000"/>
          <w:sz w:val="24"/>
          <w:szCs w:val="24"/>
        </w:rPr>
        <w:t>- при разработке одноковшовыми экскаваторами типа механической лопаты пород с применением взрывных работ при одно- и двухрядном взрывании - полуторную максимальную высоту черпания экскаваторов при условии, что высота развала не превышает высоту черпания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5.1.9. При разработке одноковшовыми экскаваторами типа механической лопаты пород с применением взрывных работ при многорядном взрывании высота развала не должна превышать полуторную максимальную высоту черпания экскаваторов, при этом должны осуществляться дополнительные меры, препятствующие произвольному обрушению "козырьков" и нависей;</w:t>
      </w:r>
    </w:p>
    <w:p>
      <w:pPr>
        <w:spacing w:line="240" w:lineRule="auto"/>
        <w:rPr>
          <w:rFonts w:hAnsi="Times New Roman" w:cs="Times New Roman"/>
          <w:color w:val="000000"/>
          <w:sz w:val="24"/>
          <w:szCs w:val="24"/>
        </w:rPr>
      </w:pPr>
      <w:r>
        <w:rPr>
          <w:rFonts w:hAnsi="Times New Roman" w:cs="Times New Roman"/>
          <w:color w:val="000000"/>
          <w:sz w:val="24"/>
          <w:szCs w:val="24"/>
        </w:rPr>
        <w:t>- при разработке драглайнами, многоковшовыми и роторными экскаваторами, экскаваторами с обратной лопатой - максимальную глубину или высоту черпания экскаваторов;</w:t>
      </w:r>
    </w:p>
    <w:p>
      <w:pPr>
        <w:spacing w:line="240" w:lineRule="auto"/>
        <w:rPr>
          <w:rFonts w:hAnsi="Times New Roman" w:cs="Times New Roman"/>
          <w:color w:val="000000"/>
          <w:sz w:val="24"/>
          <w:szCs w:val="24"/>
        </w:rPr>
      </w:pPr>
      <w:r>
        <w:rPr>
          <w:rFonts w:hAnsi="Times New Roman" w:cs="Times New Roman"/>
          <w:color w:val="000000"/>
          <w:sz w:val="24"/>
          <w:szCs w:val="24"/>
        </w:rPr>
        <w:t>- при разработке вручную рыхлых и сыпучих пород - 3 м мягких, но устойчивых, а также крепких монолитных пород - 6 м.</w:t>
      </w:r>
    </w:p>
    <w:p>
      <w:pPr>
        <w:spacing w:line="240" w:lineRule="auto"/>
        <w:rPr>
          <w:rFonts w:hAnsi="Times New Roman" w:cs="Times New Roman"/>
          <w:color w:val="000000"/>
          <w:sz w:val="24"/>
          <w:szCs w:val="24"/>
        </w:rPr>
      </w:pPr>
      <w:r>
        <w:rPr>
          <w:rFonts w:hAnsi="Times New Roman" w:cs="Times New Roman"/>
          <w:color w:val="000000"/>
          <w:sz w:val="24"/>
          <w:szCs w:val="24"/>
        </w:rPr>
        <w:t>5.1.10. Углы откосов рабочих уступов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экскаваторов типа механической лопаты и драглайна - до 80°;</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роторных экскаваторов - до 80°;</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многоковшовых цепных экскаваторов нижним черпанием - не более угла естественного откоса этих пород;</w:t>
      </w:r>
    </w:p>
    <w:p>
      <w:pPr>
        <w:spacing w:line="240" w:lineRule="auto"/>
        <w:rPr>
          <w:rFonts w:hAnsi="Times New Roman" w:cs="Times New Roman"/>
          <w:color w:val="000000"/>
          <w:sz w:val="24"/>
          <w:szCs w:val="24"/>
        </w:rPr>
      </w:pPr>
      <w:r>
        <w:rPr>
          <w:rFonts w:hAnsi="Times New Roman" w:cs="Times New Roman"/>
          <w:color w:val="000000"/>
          <w:sz w:val="24"/>
          <w:szCs w:val="24"/>
        </w:rPr>
        <w:t>- при разработке вручную рыхлых и сыпучих пород - не более угла естественного откоса этих пород, мягких, но устойчивых пород - не более 50°, скальных пород - не более 80°.</w:t>
      </w:r>
    </w:p>
    <w:p>
      <w:pPr>
        <w:spacing w:line="240" w:lineRule="auto"/>
        <w:rPr>
          <w:rFonts w:hAnsi="Times New Roman" w:cs="Times New Roman"/>
          <w:color w:val="000000"/>
          <w:sz w:val="24"/>
          <w:szCs w:val="24"/>
        </w:rPr>
      </w:pPr>
      <w:r>
        <w:rPr>
          <w:rFonts w:hAnsi="Times New Roman" w:cs="Times New Roman"/>
          <w:color w:val="000000"/>
          <w:sz w:val="24"/>
          <w:szCs w:val="24"/>
        </w:rPr>
        <w:t>5.1.11. Предельные углы откосов нерабочих уступов (углы устойчивости) устанавливаются проектом или по данным маркшейдерских наблюдений.</w:t>
      </w:r>
    </w:p>
    <w:p>
      <w:pPr>
        <w:spacing w:line="240" w:lineRule="auto"/>
        <w:rPr>
          <w:rFonts w:hAnsi="Times New Roman" w:cs="Times New Roman"/>
          <w:color w:val="000000"/>
          <w:sz w:val="24"/>
          <w:szCs w:val="24"/>
        </w:rPr>
      </w:pPr>
      <w:r>
        <w:rPr>
          <w:rFonts w:hAnsi="Times New Roman" w:cs="Times New Roman"/>
          <w:color w:val="000000"/>
          <w:sz w:val="24"/>
          <w:szCs w:val="24"/>
        </w:rPr>
        <w:t>5.1.12. Горные работы по проведению траншей, разработке уступов, отсыпке отвалов, должны вестись в соответствии с допустимыми размеры рабочих площадок, берм, углов откоса, высоты уступа, расстояний от горного и транспортного оборудования до бровок уступов или отвалов (установленных паспортами).</w:t>
      </w:r>
    </w:p>
    <w:p>
      <w:pPr>
        <w:spacing w:line="240" w:lineRule="auto"/>
        <w:rPr>
          <w:rFonts w:hAnsi="Times New Roman" w:cs="Times New Roman"/>
          <w:color w:val="000000"/>
          <w:sz w:val="24"/>
          <w:szCs w:val="24"/>
        </w:rPr>
      </w:pPr>
      <w:r>
        <w:rPr>
          <w:rFonts w:hAnsi="Times New Roman" w:cs="Times New Roman"/>
          <w:color w:val="000000"/>
          <w:sz w:val="24"/>
          <w:szCs w:val="24"/>
        </w:rPr>
        <w:t>5.1.13. Горное и транспортное оборудование, транспортные коммуникации, линии электроснабжения и связи должны располагаться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на уступах должны регулярно проводиться их оборка от нависей и "козырьков", а также ликвидация заколов.</w:t>
      </w:r>
    </w:p>
    <w:p>
      <w:pPr>
        <w:spacing w:line="240" w:lineRule="auto"/>
        <w:rPr>
          <w:rFonts w:hAnsi="Times New Roman" w:cs="Times New Roman"/>
          <w:color w:val="000000"/>
          <w:sz w:val="24"/>
          <w:szCs w:val="24"/>
        </w:rPr>
      </w:pPr>
      <w:r>
        <w:rPr>
          <w:rFonts w:hAnsi="Times New Roman" w:cs="Times New Roman"/>
          <w:color w:val="000000"/>
          <w:sz w:val="24"/>
          <w:szCs w:val="24"/>
        </w:rPr>
        <w:t>5.1.15. Работы по оборке уступов производить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5.1.16. Устройство земляных валов высотой не менее 1,4 м по периметру карьера производить на расстоянии 5 м от призмы возможного обрушения. Земляные валы устраивать бульдозером.</w:t>
      </w:r>
    </w:p>
    <w:p>
      <w:pPr>
        <w:spacing w:line="240" w:lineRule="auto"/>
        <w:rPr>
          <w:rFonts w:hAnsi="Times New Roman" w:cs="Times New Roman"/>
          <w:color w:val="000000"/>
          <w:sz w:val="24"/>
          <w:szCs w:val="24"/>
        </w:rPr>
      </w:pPr>
      <w:r>
        <w:rPr>
          <w:rFonts w:hAnsi="Times New Roman" w:cs="Times New Roman"/>
          <w:color w:val="000000"/>
          <w:sz w:val="24"/>
          <w:szCs w:val="24"/>
        </w:rPr>
        <w:t>5.1.17. Горное и транспортное оборудование, транспортные коммуникации, сети электроснабжения и связи размещать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отработки уступов экскаваторами с верхней погрузкой расстояние от бровки уступа до оси железнодорожного пути или автодороги должна быть не менее 2,5 м.</w:t>
      </w:r>
    </w:p>
    <w:p>
      <w:pPr>
        <w:spacing w:line="240" w:lineRule="auto"/>
        <w:rPr>
          <w:rFonts w:hAnsi="Times New Roman" w:cs="Times New Roman"/>
          <w:color w:val="000000"/>
          <w:sz w:val="24"/>
          <w:szCs w:val="24"/>
        </w:rPr>
      </w:pPr>
      <w:r>
        <w:rPr>
          <w:rFonts w:hAnsi="Times New Roman" w:cs="Times New Roman"/>
          <w:color w:val="000000"/>
          <w:sz w:val="24"/>
          <w:szCs w:val="24"/>
        </w:rPr>
        <w:t>5.1.19. Высота уступа (пидуступу) должна быть такой, чтобы обеспечивалась видимость транспортных средств из кабины машиниста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5.1.20. При ведении вскрышных работ, осуществляемых бестранспортной системой разработки, расстояние между нижней бровкой уступа полезных ископаемых и породным отвалом должно быть определено проектом. При наличии железнодорожных путей или конвейеров расстояние от нижней бровки отвала до оси железнодорожного пути или оси конвейера должно быть не менее 4,0 м.</w:t>
      </w:r>
    </w:p>
    <w:p>
      <w:pPr>
        <w:spacing w:line="240" w:lineRule="auto"/>
        <w:rPr>
          <w:rFonts w:hAnsi="Times New Roman" w:cs="Times New Roman"/>
          <w:color w:val="000000"/>
          <w:sz w:val="24"/>
          <w:szCs w:val="24"/>
        </w:rPr>
      </w:pPr>
      <w:r>
        <w:rPr>
          <w:rFonts w:hAnsi="Times New Roman" w:cs="Times New Roman"/>
          <w:color w:val="000000"/>
          <w:sz w:val="24"/>
          <w:szCs w:val="24"/>
        </w:rPr>
        <w:t>5.1.21. Расстояние между смежными предохранительными бермы при погашении уступов и постановке их в предельное положение должно быть определено проектом, но не более высоты двух уступов. Ширина, конструкция и порядок обслуживания предохранительных берм должны быть определены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5.1.22. Меры бермы необходимо устраивать горизонтальными или с уклоном в сторону борта карьера и регулярно очищать от кусков породы и посторонних предметов. Бермы, по которым систематически передвигаются работники, необходимо ограждать по проекту.</w:t>
      </w:r>
    </w:p>
    <w:p>
      <w:pPr>
        <w:spacing w:line="240" w:lineRule="auto"/>
        <w:rPr>
          <w:rFonts w:hAnsi="Times New Roman" w:cs="Times New Roman"/>
          <w:color w:val="000000"/>
          <w:sz w:val="24"/>
          <w:szCs w:val="24"/>
        </w:rPr>
      </w:pPr>
      <w:r>
        <w:rPr>
          <w:rFonts w:hAnsi="Times New Roman" w:cs="Times New Roman"/>
          <w:color w:val="000000"/>
          <w:sz w:val="24"/>
          <w:szCs w:val="24"/>
        </w:rPr>
        <w:t>5.1.23. Осуществлять контроль за состоянием их бортов, траншей, уступов, откосов 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5.1.24. На карьерах, склонных к оползням, необходимо осуществлять инструментальные наблюдения за состоянием бортов карьера и откосов отвалов.</w:t>
      </w:r>
    </w:p>
    <w:p>
      <w:pPr>
        <w:spacing w:line="240" w:lineRule="auto"/>
        <w:rPr>
          <w:rFonts w:hAnsi="Times New Roman" w:cs="Times New Roman"/>
          <w:color w:val="000000"/>
          <w:sz w:val="24"/>
          <w:szCs w:val="24"/>
        </w:rPr>
      </w:pPr>
      <w:r>
        <w:rPr>
          <w:rFonts w:hAnsi="Times New Roman" w:cs="Times New Roman"/>
          <w:color w:val="000000"/>
          <w:sz w:val="24"/>
          <w:szCs w:val="24"/>
        </w:rPr>
        <w:t>5.1.25. На уступах, где проводятся работы, необходимо регулярно обирать навис и "козырьки", а также ликвидировать заколи.</w:t>
      </w:r>
    </w:p>
    <w:p>
      <w:pPr>
        <w:spacing w:line="240" w:lineRule="auto"/>
        <w:rPr>
          <w:rFonts w:hAnsi="Times New Roman" w:cs="Times New Roman"/>
          <w:color w:val="000000"/>
          <w:sz w:val="24"/>
          <w:szCs w:val="24"/>
        </w:rPr>
      </w:pPr>
      <w:r>
        <w:rPr>
          <w:rFonts w:hAnsi="Times New Roman" w:cs="Times New Roman"/>
          <w:color w:val="000000"/>
          <w:sz w:val="24"/>
          <w:szCs w:val="24"/>
        </w:rPr>
        <w:t>5.1.26. Работы по обиранию уступов необходимо проводить механизированным способом. Ручное обирание разрешается осуществлять только специально подготовленным работникам (скалолазам) с обязательным оформлением наряда-допуска на эти работы.</w:t>
      </w:r>
    </w:p>
    <w:p>
      <w:pPr>
        <w:spacing w:line="240" w:lineRule="auto"/>
        <w:rPr>
          <w:rFonts w:hAnsi="Times New Roman" w:cs="Times New Roman"/>
          <w:color w:val="000000"/>
          <w:sz w:val="24"/>
          <w:szCs w:val="24"/>
        </w:rPr>
      </w:pPr>
      <w:r>
        <w:rPr>
          <w:rFonts w:hAnsi="Times New Roman" w:cs="Times New Roman"/>
          <w:color w:val="000000"/>
          <w:sz w:val="24"/>
          <w:szCs w:val="24"/>
        </w:rPr>
        <w:t>5.1.27. Работников, не занятых на оборке, необходимо вывести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5.1.28. При работе на высоте и на откосах уступов с углом наклона более 35° работники, выполняющие бурение, оборку откосов и другие операции, обязательно должны пользоваться системами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5.1.29. При выполнении работ в зонах возможных обвалов или провалов вследствие наличия подземных выработок или карстов необходимо принимать специальные меры, обеспечивающие безопасность работы (предыдущее разведочное бурение, вывод на время взрывных работ горных машин из забоев, находящихся вблизи зоны возможного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5.1.30. В проекте разработки месторождений, склонных к оползням, должны быть предусмотрены специальные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5.1.31. Если склонность к смещению выясняется в процессе ведения горных работ, необходимо внести соответствующие коррективы в проект и осуществить предусмотренные в нем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перерывов в работе запрещается оставлять приборы вблизи дорог всех видов.</w:t>
      </w:r>
    </w:p>
    <w:p>
      <w:pPr>
        <w:spacing w:line="240" w:lineRule="auto"/>
        <w:rPr>
          <w:rFonts w:hAnsi="Times New Roman" w:cs="Times New Roman"/>
          <w:color w:val="000000"/>
          <w:sz w:val="24"/>
          <w:szCs w:val="24"/>
        </w:rPr>
      </w:pPr>
      <w:r>
        <w:rPr>
          <w:rFonts w:hAnsi="Times New Roman" w:cs="Times New Roman"/>
          <w:color w:val="000000"/>
          <w:sz w:val="24"/>
          <w:szCs w:val="24"/>
        </w:rPr>
        <w:t>5.1.33. При переходе с приборами с одного места на другое следует ходить по левой стороне дороги навстречу движению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5.1.34. Запрещается работать на крутых склонах.</w:t>
      </w:r>
    </w:p>
    <w:p>
      <w:pPr>
        <w:spacing w:line="240" w:lineRule="auto"/>
        <w:rPr>
          <w:rFonts w:hAnsi="Times New Roman" w:cs="Times New Roman"/>
          <w:color w:val="000000"/>
          <w:sz w:val="24"/>
          <w:szCs w:val="24"/>
        </w:rPr>
      </w:pPr>
      <w:r>
        <w:rPr>
          <w:rFonts w:hAnsi="Times New Roman" w:cs="Times New Roman"/>
          <w:color w:val="000000"/>
          <w:sz w:val="24"/>
          <w:szCs w:val="24"/>
        </w:rPr>
        <w:t>5.1.35. Запрещается применение самодельных обогревательных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5.1.36.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5.1.37. При эксплуатации приборов, аппаратуры и механизмов оборудования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не по назначению и использовать это оборудование для работ в неисправном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ограждений, приспособлений и средств защиты или при неисправном их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5.1.38. Применять безопасные приёмы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5.1.39. При производстве работ на высоте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скопление людей и материалов на лесах, настилах, трапах и т.п. в количествах, превышающих их расчетные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от одного работника к другому приборы, инструменты, материалы и прочее путем их перебрасывания, а также оставлять по окончании работы эти инструменты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5.1.40.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5.1.41.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5.1.42. Горные работы производить в соответствии с Правилами противопожарного режима.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Мастер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по уборке территории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вентиляцию, подачу к оборудованию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6.2.3.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произвести чистку применявшегося оборудования,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Собрать и вынести в установленное место мусор, загрязненную ветошь..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5ad5b2f715948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