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инъектировщика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инъектировщика.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11.12.2020 N 883н</w:t>
      </w:r>
      <w:r>
        <w:rPr>
          <w:rFonts w:hAnsi="Times New Roman" w:cs="Times New Roman"/>
          <w:color w:val="000000"/>
          <w:sz w:val="24"/>
          <w:szCs w:val="24"/>
        </w:rPr>
        <w:t xml:space="preserve"> "Об утверждении Правил по охране труда при строительстве, реконструкции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инъектировщиком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материалов 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вблизи перепада по высоте 1,8 м и более;</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заусеницы и шероховатость на поверхностях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 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 1,8 м и более;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материалов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изоляции трубопроводов. Ознакомиться с условиями и состоянием охраны труда на рабочем месте, с мерами по защите от воздействия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рабочее место и подходы к нему.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условиях строительства оценить вероятность образования трещин можно визуально по их наличию и распределению на исследуемой поверхности. При расчетах следует учитывать два характера расположения трещин – нормально к продольной оси и наклонно. Расчеты проводятся по следующим критериям: образование трещин, раскрытие и закрытие. Также проводятся расчеты конструкций по деформациям; определение кривизны железобетонных элементов на участках без трещин в растянутой зоне; определение кривизны железобетонных элементов на участках с трещинами, в растянутой зоне; определение прогибов.</w:t>
      </w:r>
    </w:p>
    <w:p>
      <w:pPr>
        <w:spacing w:line="240" w:lineRule="auto"/>
        <w:rPr>
          <w:rFonts w:hAnsi="Times New Roman" w:cs="Times New Roman"/>
          <w:color w:val="000000"/>
          <w:sz w:val="24"/>
          <w:szCs w:val="24"/>
        </w:rPr>
      </w:pPr>
      <w:r>
        <w:rPr>
          <w:rFonts w:hAnsi="Times New Roman" w:cs="Times New Roman"/>
          <w:color w:val="000000"/>
          <w:sz w:val="24"/>
          <w:szCs w:val="24"/>
        </w:rPr>
        <w:t>Все выявленные визуально трещины (обычно такие трещины имеют раскрытие не менее 0,5 мм) должны быть расшиты.</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наличия обнаженной арматуры и других металлических закладных элементов, соответствующие металлические поверхности должны быть зачищены от окисных и гидроокисных соединений (ржавчины). Указанные работы рекомендуется проводить с использованием металлической щетки – вручную, или с применением дрели с насадкой – металлической щеткой. После зачистки металлической поверхности рекомендуется обработать защитным.</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 поверхностях обширных площадей штукатурных, лакокрасочных, механических, масляных, биологических или иных мешающих покрытий и наслоений, такие поверхности рекомендуется подвергнуть дополнительной специальной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Очистку бетонных поверхностей следует производить при помощи водоструйной установки высокого давления или другими приемлемыми механическими способами (например, углошлифовальной машиной с торцевой алмазной фрезой).</w:t>
      </w:r>
    </w:p>
    <w:p>
      <w:pPr>
        <w:spacing w:line="240" w:lineRule="auto"/>
        <w:rPr>
          <w:rFonts w:hAnsi="Times New Roman" w:cs="Times New Roman"/>
          <w:color w:val="000000"/>
          <w:sz w:val="24"/>
          <w:szCs w:val="24"/>
        </w:rPr>
      </w:pPr>
      <w:r>
        <w:rPr>
          <w:rFonts w:hAnsi="Times New Roman" w:cs="Times New Roman"/>
          <w:color w:val="000000"/>
          <w:sz w:val="24"/>
          <w:szCs w:val="24"/>
        </w:rPr>
        <w:t>Все технологические стыки, швы, а также участки примыкания в зоне рабочих поверхностей должны быть хорошо зачищены и при необходимости расшиты.</w:t>
      </w:r>
    </w:p>
    <w:p>
      <w:pPr>
        <w:spacing w:line="240" w:lineRule="auto"/>
        <w:rPr>
          <w:rFonts w:hAnsi="Times New Roman" w:cs="Times New Roman"/>
          <w:color w:val="000000"/>
          <w:sz w:val="24"/>
          <w:szCs w:val="24"/>
        </w:rPr>
      </w:pPr>
      <w:r>
        <w:rPr>
          <w:rFonts w:hAnsi="Times New Roman" w:cs="Times New Roman"/>
          <w:color w:val="000000"/>
          <w:sz w:val="24"/>
          <w:szCs w:val="24"/>
        </w:rPr>
        <w:t>Все выступающие элементы в зоне рабочих поверхностей, не имеющие функционального или иного назначения, должны быть удалены.</w:t>
      </w:r>
    </w:p>
    <w:p>
      <w:pPr>
        <w:spacing w:line="240" w:lineRule="auto"/>
        <w:rPr>
          <w:rFonts w:hAnsi="Times New Roman" w:cs="Times New Roman"/>
          <w:color w:val="000000"/>
          <w:sz w:val="24"/>
          <w:szCs w:val="24"/>
        </w:rPr>
      </w:pPr>
      <w:r>
        <w:rPr>
          <w:rFonts w:hAnsi="Times New Roman" w:cs="Times New Roman"/>
          <w:color w:val="000000"/>
          <w:sz w:val="24"/>
          <w:szCs w:val="24"/>
        </w:rPr>
        <w:t>Подготовленная поверхность не должна иметь:</w:t>
      </w:r>
    </w:p>
    <w:p>
      <w:pPr>
        <w:spacing w:line="240" w:lineRule="auto"/>
        <w:rPr>
          <w:rFonts w:hAnsi="Times New Roman" w:cs="Times New Roman"/>
          <w:color w:val="000000"/>
          <w:sz w:val="24"/>
          <w:szCs w:val="24"/>
        </w:rPr>
      </w:pPr>
      <w:r>
        <w:rPr>
          <w:rFonts w:hAnsi="Times New Roman" w:cs="Times New Roman"/>
          <w:color w:val="000000"/>
          <w:sz w:val="24"/>
          <w:szCs w:val="24"/>
        </w:rPr>
        <w:t>- рыхлых, легко отслаивающихся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 трещин, сколов и раковин, участков непровибрированного бетона;</w:t>
      </w:r>
    </w:p>
    <w:p>
      <w:pPr>
        <w:spacing w:line="240" w:lineRule="auto"/>
        <w:rPr>
          <w:rFonts w:hAnsi="Times New Roman" w:cs="Times New Roman"/>
          <w:color w:val="000000"/>
          <w:sz w:val="24"/>
          <w:szCs w:val="24"/>
        </w:rPr>
      </w:pPr>
      <w:r>
        <w:rPr>
          <w:rFonts w:hAnsi="Times New Roman" w:cs="Times New Roman"/>
          <w:color w:val="000000"/>
          <w:sz w:val="24"/>
          <w:szCs w:val="24"/>
        </w:rPr>
        <w:t>- грязи, пыли, цементного молочка, опалубочной смазки.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подмостей, люлек или автовышек инъектировщики должны пользоваться страховочной привязью. При этом инструмент и мелкие детали инъектировщики должны переносить в сумке.</w:t>
      </w:r>
    </w:p>
    <w:p>
      <w:pPr>
        <w:spacing w:line="240" w:lineRule="auto"/>
        <w:rPr>
          <w:rFonts w:hAnsi="Times New Roman" w:cs="Times New Roman"/>
          <w:color w:val="000000"/>
          <w:sz w:val="24"/>
          <w:szCs w:val="24"/>
        </w:rPr>
      </w:pPr>
      <w:r>
        <w:rPr>
          <w:rFonts w:hAnsi="Times New Roman" w:cs="Times New Roman"/>
          <w:color w:val="000000"/>
          <w:sz w:val="24"/>
          <w:szCs w:val="24"/>
        </w:rPr>
        <w:t>5.1.3. Обмазка торцов для инъецирования каналов разрешается только после обрезки всех пучков.</w:t>
      </w:r>
    </w:p>
    <w:p>
      <w:pPr>
        <w:spacing w:line="240" w:lineRule="auto"/>
        <w:rPr>
          <w:rFonts w:hAnsi="Times New Roman" w:cs="Times New Roman"/>
          <w:color w:val="000000"/>
          <w:sz w:val="24"/>
          <w:szCs w:val="24"/>
        </w:rPr>
      </w:pPr>
      <w:r>
        <w:rPr>
          <w:rFonts w:hAnsi="Times New Roman" w:cs="Times New Roman"/>
          <w:color w:val="000000"/>
          <w:sz w:val="24"/>
          <w:szCs w:val="24"/>
        </w:rPr>
        <w:t>5.1.4. Для обеспечения безопасности работ при инъецировании нагнетающий шланг должен быть надет на штуцер, имеющий не менее четырех уступов, и закреплен двумя хомутами. Рабочие должны быть в защитных щитках или очках.</w:t>
      </w:r>
    </w:p>
    <w:p>
      <w:pPr>
        <w:spacing w:line="240" w:lineRule="auto"/>
        <w:rPr>
          <w:rFonts w:hAnsi="Times New Roman" w:cs="Times New Roman"/>
          <w:color w:val="000000"/>
          <w:sz w:val="24"/>
          <w:szCs w:val="24"/>
        </w:rPr>
      </w:pPr>
      <w:r>
        <w:rPr>
          <w:rFonts w:hAnsi="Times New Roman" w:cs="Times New Roman"/>
          <w:color w:val="000000"/>
          <w:sz w:val="24"/>
          <w:szCs w:val="24"/>
        </w:rPr>
        <w:t>Штуцер должен быть ввинчен в соединительную муфту на глубину не менее 3 см. На такую же глубину муфта должна быть навинчена на патрубок.</w:t>
      </w:r>
    </w:p>
    <w:p>
      <w:pPr>
        <w:spacing w:line="240" w:lineRule="auto"/>
        <w:rPr>
          <w:rFonts w:hAnsi="Times New Roman" w:cs="Times New Roman"/>
          <w:color w:val="000000"/>
          <w:sz w:val="24"/>
          <w:szCs w:val="24"/>
        </w:rPr>
      </w:pPr>
      <w:r>
        <w:rPr>
          <w:rFonts w:hAnsi="Times New Roman" w:cs="Times New Roman"/>
          <w:color w:val="000000"/>
          <w:sz w:val="24"/>
          <w:szCs w:val="24"/>
        </w:rPr>
        <w:t>Система подачи раствора должна быть предварительно проверена опрессовкой при давлении на 20% выше максимального рабочего.</w:t>
      </w:r>
    </w:p>
    <w:p>
      <w:pPr>
        <w:spacing w:line="240" w:lineRule="auto"/>
        <w:rPr>
          <w:rFonts w:hAnsi="Times New Roman" w:cs="Times New Roman"/>
          <w:color w:val="000000"/>
          <w:sz w:val="24"/>
          <w:szCs w:val="24"/>
        </w:rPr>
      </w:pPr>
      <w:r>
        <w:rPr>
          <w:rFonts w:hAnsi="Times New Roman" w:cs="Times New Roman"/>
          <w:color w:val="000000"/>
          <w:sz w:val="24"/>
          <w:szCs w:val="24"/>
        </w:rPr>
        <w:t>5.1.5. При инъецировании раствора не допускается нахождение обслуживающего персонала в створе с каналом со стороны его выходного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5.1.6. При подаче пучков на пролетное строение в виде бухты скрутки скрепляющие пучки следует ставить так, чтобы была обеспечена быстрая и безопасная раскатка бухты.</w:t>
      </w:r>
    </w:p>
    <w:p>
      <w:pPr>
        <w:spacing w:line="240" w:lineRule="auto"/>
        <w:rPr>
          <w:rFonts w:hAnsi="Times New Roman" w:cs="Times New Roman"/>
          <w:color w:val="000000"/>
          <w:sz w:val="24"/>
          <w:szCs w:val="24"/>
        </w:rPr>
      </w:pPr>
      <w:r>
        <w:rPr>
          <w:rFonts w:hAnsi="Times New Roman" w:cs="Times New Roman"/>
          <w:color w:val="000000"/>
          <w:sz w:val="24"/>
          <w:szCs w:val="24"/>
        </w:rPr>
        <w:t>5.1.7. Приварка к рабочей напрягаемой арматуре каких-либо стержней, за исключением предусмотренных рабочей документацией и приваренных до начала натяжения,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Для инъектирования смеси компонентов смолы необходимо использовать ручной поршневой насос.</w:t>
      </w:r>
    </w:p>
    <w:p>
      <w:pPr>
        <w:spacing w:line="240" w:lineRule="auto"/>
        <w:rPr>
          <w:rFonts w:hAnsi="Times New Roman" w:cs="Times New Roman"/>
          <w:color w:val="000000"/>
          <w:sz w:val="24"/>
          <w:szCs w:val="24"/>
        </w:rPr>
      </w:pPr>
      <w:r>
        <w:rPr>
          <w:rFonts w:hAnsi="Times New Roman" w:cs="Times New Roman"/>
          <w:color w:val="000000"/>
          <w:sz w:val="24"/>
          <w:szCs w:val="24"/>
        </w:rPr>
        <w:t>Перед приготовлением смеси компонентов смол необходимо проверить работоспособность насоса - провести пробную промывку гидравлическим маслом в режиме циркуляции.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приготовлением смеси компонентов смолы необходимо выполнить пробное смешивание в небольшой ёмкости для оценки ее жизнеспособности в условиях объекта и окружающей температуры, так как вязкость смол увеличивается при понижении температуры, а при повышении температуры – снижается жизнеспособность смеси компонентов смолы.</w:t>
      </w:r>
    </w:p>
    <w:p>
      <w:pPr>
        <w:spacing w:line="240" w:lineRule="auto"/>
        <w:rPr>
          <w:rFonts w:hAnsi="Times New Roman" w:cs="Times New Roman"/>
          <w:color w:val="000000"/>
          <w:sz w:val="24"/>
          <w:szCs w:val="24"/>
        </w:rPr>
      </w:pPr>
      <w:r>
        <w:rPr>
          <w:rFonts w:hAnsi="Times New Roman" w:cs="Times New Roman"/>
          <w:color w:val="000000"/>
          <w:sz w:val="24"/>
          <w:szCs w:val="24"/>
        </w:rPr>
        <w:t>Приготовить такое количество смолы, которое можно израсходовать за время её жизнеспособности.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крайний металлический инъектор и начать процесс инъектирования.</w:t>
      </w:r>
    </w:p>
    <w:p>
      <w:pPr>
        <w:spacing w:line="240" w:lineRule="auto"/>
        <w:rPr>
          <w:rFonts w:hAnsi="Times New Roman" w:cs="Times New Roman"/>
          <w:color w:val="000000"/>
          <w:sz w:val="24"/>
          <w:szCs w:val="24"/>
        </w:rPr>
      </w:pPr>
      <w:r>
        <w:rPr>
          <w:rFonts w:hAnsi="Times New Roman" w:cs="Times New Roman"/>
          <w:color w:val="000000"/>
          <w:sz w:val="24"/>
          <w:szCs w:val="24"/>
        </w:rPr>
        <w:t>Инъектирование производить до тех пор, пока не произойдет резкого повышения давления в системе, или давление долгое время (2‒3 минуты) не повышается, либо пока инъекционная смесь не начнет вытекать из соседнего инъектора.</w:t>
      </w:r>
    </w:p>
    <w:p>
      <w:pPr>
        <w:spacing w:line="240" w:lineRule="auto"/>
        <w:rPr>
          <w:rFonts w:hAnsi="Times New Roman" w:cs="Times New Roman"/>
          <w:color w:val="000000"/>
          <w:sz w:val="24"/>
          <w:szCs w:val="24"/>
        </w:rPr>
      </w:pPr>
      <w:r>
        <w:rPr>
          <w:rFonts w:hAnsi="Times New Roman" w:cs="Times New Roman"/>
          <w:color w:val="000000"/>
          <w:sz w:val="24"/>
          <w:szCs w:val="24"/>
        </w:rPr>
        <w:t>5.1.8. В процессе изготовления элементов не допускается передавать поперечную нагрузку непосредственно на напрягаемую арматуру, путем подвешивания к ней опалубки или вспомогательного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 рабочей зоне запрещается хранить продукты питания и верхнюю одежду.</w:t>
      </w:r>
    </w:p>
    <w:p>
      <w:pPr>
        <w:spacing w:line="240" w:lineRule="auto"/>
        <w:rPr>
          <w:rFonts w:hAnsi="Times New Roman" w:cs="Times New Roman"/>
          <w:color w:val="000000"/>
          <w:sz w:val="24"/>
          <w:szCs w:val="24"/>
        </w:rPr>
      </w:pPr>
      <w:r>
        <w:rPr>
          <w:rFonts w:hAnsi="Times New Roman" w:cs="Times New Roman"/>
          <w:color w:val="000000"/>
          <w:sz w:val="24"/>
          <w:szCs w:val="24"/>
        </w:rPr>
        <w:t>Категорически запрещается распивать спиртные напитки, курить и принимать пищу.</w:t>
      </w:r>
    </w:p>
    <w:p>
      <w:pPr>
        <w:spacing w:line="240" w:lineRule="auto"/>
        <w:rPr>
          <w:rFonts w:hAnsi="Times New Roman" w:cs="Times New Roman"/>
          <w:color w:val="000000"/>
          <w:sz w:val="24"/>
          <w:szCs w:val="24"/>
        </w:rPr>
      </w:pPr>
      <w:r>
        <w:rPr>
          <w:rFonts w:hAnsi="Times New Roman" w:cs="Times New Roman"/>
          <w:color w:val="000000"/>
          <w:sz w:val="24"/>
          <w:szCs w:val="24"/>
        </w:rPr>
        <w:t>Уборку производственных помещений и рабочих мест производить каждый день.</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для хранения компонентов должны быть оборудованы вытяжной вентиляцией и снабжены противопожарным инвентарем согласно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хранения компонентов от +5 °С до +30 °С.</w:t>
      </w:r>
    </w:p>
    <w:p>
      <w:pPr>
        <w:spacing w:line="240" w:lineRule="auto"/>
        <w:rPr>
          <w:rFonts w:hAnsi="Times New Roman" w:cs="Times New Roman"/>
          <w:color w:val="000000"/>
          <w:sz w:val="24"/>
          <w:szCs w:val="24"/>
        </w:rPr>
      </w:pPr>
      <w:r>
        <w:rPr>
          <w:rFonts w:hAnsi="Times New Roman" w:cs="Times New Roman"/>
          <w:color w:val="000000"/>
          <w:sz w:val="24"/>
          <w:szCs w:val="24"/>
        </w:rPr>
        <w:t>Все компоненты должны храниться в герметично закрывающейся посуде вдали от источников теплоты и защищены от попадания прямых солнечных лучей. Не допускать контакта с окислителями и влагой.</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где хранятся компоненты, запрещается приготовление композиций, хранение отходов и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Условия хранения компонентов должны исключать доступ к ним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Использованная тара, неиспользованные остатки материалов должны быть утилизированы с привлечением специализированных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Сливать остатки материала в ливневую, а также бытовую канализацию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допускать выполнение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в открытых местах при скорости воздушного потока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(демонтаже) конструкций с большой парусностью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5.2.2. Правильно подбирать средства индивидуальной защиты. Применяемые средства защиты должны иметь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5.2.3. Содержать в исправном состоянии СИЗ, инструмент и технические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5.2.4. Работы по наряду-допуску производить в соответствии с требованиями безопасности, указанными в наряде-допуске. Не допускается изменять комплекс мероприятий, предусмотренных нарядом-допуском и ППР на высоте, обеспечивающих безопасность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5.2.5. Осуществлять непрерывную визуальную связь, а также связь голосом или радиопереговорную связь с другими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5.2.6. Содержать в порядке и чистоте рабочее место, не захламлять инструментом, приспособлениями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5.2.7. Нахождение работников на перемещаемых лесах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5.2.8. Не допускать нахождение на месте производства работ во время перерывов в ходе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5.2.9.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5.2.11. Запрещается работать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доложить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оборудование, инструмент, ограждения, вспомогательные и предохранительные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451889e5e7241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