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организации и нормирования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организации и нормирования труда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главного инженера по организации и нормирования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по организации и нормирования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инженера по организации и нормирования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организации и нормирования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организации и нормирования труда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организации и нормирования труда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организации и нормирования труда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организации и нормирования труда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организации и нормирования труда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по организации и нормирования труда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 xml:space="preserve">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 xml:space="preserve">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организации и нормирования труда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Инженер по организации и нормирования труда перед началом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с рабочего места посторонние предметы и предметы, не требующиеся для выполнения текущей работы (коробки, сумки, папки, книги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организации и нормирования труда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по организации и нормирования труда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 по организации и нормирования труда во время работы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организации и нормирования труда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организации и нормирования труда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инженера по организации и нормирования труда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организации и нормирования труда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организации и нормирования труда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Инженер по организации и нормирования труда при возникновении аварийных ситуаций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управлением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a1e061e41eb4f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