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каротажника прострелочно-взрывных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каротажника прострелочно-взрывных работ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каротажника прострелочно-взрывных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каротажника прострелочно-взрывных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каротажника прострелочно-взрывных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каротажника прострелочно-взрывных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каротажниками прострелочно-взрывных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каротажника прострелочно-взрывных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каротажников прострелочно-взрывных работ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безопасности в нефтяной и газовой промышленности, утвержденные </w:t>
      </w:r>
      <w:r>
        <w:rPr>
          <w:rFonts w:hAnsi="Times New Roman" w:cs="Times New Roman"/>
          <w:color w:val="000000"/>
          <w:sz w:val="24"/>
          <w:szCs w:val="24"/>
        </w:rPr>
        <w:t>приказом Ростехнадзора от 15.12.2020 № 534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каротажником, прострелочно-взрывных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каротажника.</w:t>
      </w:r>
    </w:p>
    <w:p>
      <w:pPr>
        <w:spacing w:line="240" w:lineRule="auto"/>
        <w:rPr>
          <w:rFonts w:hAnsi="Times New Roman" w:cs="Times New Roman"/>
          <w:color w:val="000000"/>
          <w:sz w:val="24"/>
          <w:szCs w:val="24"/>
        </w:rPr>
      </w:pPr>
      <w:r>
        <w:rPr>
          <w:rFonts w:hAnsi="Times New Roman" w:cs="Times New Roman"/>
          <w:color w:val="000000"/>
          <w:sz w:val="24"/>
          <w:szCs w:val="24"/>
        </w:rPr>
        <w:t>3.3.1. Каротажник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Каротажник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каротажником возможно воздействие на работающего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токсичность нефтепродуктов и их паров;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грузоподъемные машины (подъемные сооружения), перемещаемые материалы, подвижные части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 (глубине) относительно поверхности пола (земли);</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оборудования), материалы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замыкание электрических цепей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влажность, подвижность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каротажника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Каротажник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каротажник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Зона работы обозначается переносным знаком "Въезд запрещен.</w:t>
      </w:r>
    </w:p>
    <w:p>
      <w:pPr>
        <w:spacing w:line="240" w:lineRule="auto"/>
        <w:rPr>
          <w:rFonts w:hAnsi="Times New Roman" w:cs="Times New Roman"/>
          <w:color w:val="000000"/>
          <w:sz w:val="24"/>
          <w:szCs w:val="24"/>
        </w:rPr>
      </w:pPr>
      <w:r>
        <w:rPr>
          <w:rFonts w:hAnsi="Times New Roman" w:cs="Times New Roman"/>
          <w:color w:val="000000"/>
          <w:sz w:val="24"/>
          <w:szCs w:val="24"/>
        </w:rPr>
        <w:t>4.1.2. На время ПВР вокруг устья скважины устанавливается опасная зона радиусом не менее 10 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Приступать к выполнению ПВР на скважине разрешается только после окончания работ по подготовке ее территории, ствола и оборудования к ПВР, подтвержденного "Актом готовности скважины для производства ПВР", подписанным представителями заказчика и подрядчика.</w:t>
      </w:r>
    </w:p>
    <w:p>
      <w:pPr>
        <w:spacing w:line="240" w:lineRule="auto"/>
        <w:rPr>
          <w:rFonts w:hAnsi="Times New Roman" w:cs="Times New Roman"/>
          <w:color w:val="000000"/>
          <w:sz w:val="24"/>
          <w:szCs w:val="24"/>
        </w:rPr>
      </w:pPr>
      <w:r>
        <w:rPr>
          <w:rFonts w:hAnsi="Times New Roman" w:cs="Times New Roman"/>
          <w:color w:val="000000"/>
          <w:sz w:val="24"/>
          <w:szCs w:val="24"/>
        </w:rPr>
        <w:t>4.4.2. Для установки геофизического оборудования, снаряжения и заряжания ПВА, хранения ВМ и ПВА на скважине должны быть подготовлены площадки с подъездными путями к ним и путями перехода между ними, а именно:</w:t>
      </w:r>
    </w:p>
    <w:p>
      <w:pPr>
        <w:spacing w:line="240" w:lineRule="auto"/>
        <w:rPr>
          <w:rFonts w:hAnsi="Times New Roman" w:cs="Times New Roman"/>
          <w:color w:val="000000"/>
          <w:sz w:val="24"/>
          <w:szCs w:val="24"/>
        </w:rPr>
      </w:pPr>
      <w:r>
        <w:rPr>
          <w:rFonts w:hAnsi="Times New Roman" w:cs="Times New Roman"/>
          <w:color w:val="000000"/>
          <w:sz w:val="24"/>
          <w:szCs w:val="24"/>
        </w:rPr>
        <w:t>а) площадка для установки ЛПС, используемой в качестве передвижной зарядной мастерской (но не для хранения ВМ!), или приспосабливаемого в качестве зарядной мастерской помещения должна размещаться возможно ближе к устью скважины со стороны мостков (сходен, трапов и т.п.);</w:t>
      </w:r>
    </w:p>
    <w:p>
      <w:pPr>
        <w:spacing w:line="240" w:lineRule="auto"/>
        <w:rPr>
          <w:rFonts w:hAnsi="Times New Roman" w:cs="Times New Roman"/>
          <w:color w:val="000000"/>
          <w:sz w:val="24"/>
          <w:szCs w:val="24"/>
        </w:rPr>
      </w:pPr>
      <w:r>
        <w:rPr>
          <w:rFonts w:hAnsi="Times New Roman" w:cs="Times New Roman"/>
          <w:color w:val="000000"/>
          <w:sz w:val="24"/>
          <w:szCs w:val="24"/>
        </w:rPr>
        <w:t>б) открытая площадка для снаряжения и заряжания ПВА, если эти операции выполняются не в ЛПС и в приспособленных для снаряжения помещениях, должна размещаться со стороны приемных мостков. Площадка должна находиться на горизонтальной части мостков или земной поверхности возможно ближе к устью скважины. Длина площадки должна не менее чем на 2 м превышать длину снаряжаемого аппарата или его секции. Между местом снаряжения аппаратов и устьем скважины должны быть убраны оборудование и инструмент, затрудняющие перемещение снаряженных аппаратов, в т.ч. подтягиванием с помощью лебедки каротажного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в) площадка для установки каротажного подъемника должна размещаться со стороны приемных мостков на расстоянии, обеспечивающем прямую видимость устья (ротора) скважины, кабеля и подвесного блока, и на расстоянии не менее 10 м от места снаряжения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г) площадка для кратковременного хранения ВМ и ПВА на скважине в дополнение к п. 4.2.27 должна размещаться на расстоянии не менее 20 м от площадки снаряжения аппаратов, в т.ч. в ЛПС, и 50 м - от площадки установки каротажного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д) площадка установки ЛКС при нахождении ее на скважине одновременно с оборудованием ПВР должна размещаться на расстоянии не менее 50 м от мест нахождения ВМ при хранении и работе с ними.</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ограниченных размеров территории объекта возможность сокращения указанных в п. 4.3.2 расстояний должна определяться в порядке, предусмотренном в п. 4.2.27.</w:t>
      </w:r>
    </w:p>
    <w:p>
      <w:pPr>
        <w:spacing w:line="240" w:lineRule="auto"/>
        <w:rPr>
          <w:rFonts w:hAnsi="Times New Roman" w:cs="Times New Roman"/>
          <w:color w:val="000000"/>
          <w:sz w:val="24"/>
          <w:szCs w:val="24"/>
        </w:rPr>
      </w:pPr>
      <w:r>
        <w:rPr>
          <w:rFonts w:hAnsi="Times New Roman" w:cs="Times New Roman"/>
          <w:color w:val="000000"/>
          <w:sz w:val="24"/>
          <w:szCs w:val="24"/>
        </w:rPr>
        <w:t>4.4.4. Для выполнения ПВР в темное время суток площадки, указанные в п. 4.3.2, должны освещаться. Освещенность площадок и рабочих мест выполнения ПВР должна быть не менее:</w:t>
      </w:r>
    </w:p>
    <w:p>
      <w:pPr>
        <w:spacing w:line="240" w:lineRule="auto"/>
        <w:rPr>
          <w:rFonts w:hAnsi="Times New Roman" w:cs="Times New Roman"/>
          <w:color w:val="000000"/>
          <w:sz w:val="24"/>
          <w:szCs w:val="24"/>
        </w:rPr>
      </w:pPr>
      <w:r>
        <w:rPr>
          <w:rFonts w:hAnsi="Times New Roman" w:cs="Times New Roman"/>
          <w:color w:val="000000"/>
          <w:sz w:val="24"/>
          <w:szCs w:val="24"/>
        </w:rPr>
        <w:t>- 50 лк - места снаряжения аппаратов, устья скважины, лубрикатора;</w:t>
      </w:r>
    </w:p>
    <w:p>
      <w:pPr>
        <w:spacing w:line="240" w:lineRule="auto"/>
        <w:rPr>
          <w:rFonts w:hAnsi="Times New Roman" w:cs="Times New Roman"/>
          <w:color w:val="000000"/>
          <w:sz w:val="24"/>
          <w:szCs w:val="24"/>
        </w:rPr>
      </w:pPr>
      <w:r>
        <w:rPr>
          <w:rFonts w:hAnsi="Times New Roman" w:cs="Times New Roman"/>
          <w:color w:val="000000"/>
          <w:sz w:val="24"/>
          <w:szCs w:val="24"/>
        </w:rPr>
        <w:t>- 40 лк - трассы геофизического кабеля;</w:t>
      </w:r>
    </w:p>
    <w:p>
      <w:pPr>
        <w:spacing w:line="240" w:lineRule="auto"/>
        <w:rPr>
          <w:rFonts w:hAnsi="Times New Roman" w:cs="Times New Roman"/>
          <w:color w:val="000000"/>
          <w:sz w:val="24"/>
          <w:szCs w:val="24"/>
        </w:rPr>
      </w:pPr>
      <w:r>
        <w:rPr>
          <w:rFonts w:hAnsi="Times New Roman" w:cs="Times New Roman"/>
          <w:color w:val="000000"/>
          <w:sz w:val="24"/>
          <w:szCs w:val="24"/>
        </w:rPr>
        <w:t>- 25 лк - подвесного блока, пульта управления перфораторной задвижкой, мостков и путей переноски снаряженных аппаратов, площадки хранения ВМ;</w:t>
      </w:r>
    </w:p>
    <w:p>
      <w:pPr>
        <w:spacing w:line="240" w:lineRule="auto"/>
        <w:rPr>
          <w:rFonts w:hAnsi="Times New Roman" w:cs="Times New Roman"/>
          <w:color w:val="000000"/>
          <w:sz w:val="24"/>
          <w:szCs w:val="24"/>
        </w:rPr>
      </w:pPr>
      <w:r>
        <w:rPr>
          <w:rFonts w:hAnsi="Times New Roman" w:cs="Times New Roman"/>
          <w:color w:val="000000"/>
          <w:sz w:val="24"/>
          <w:szCs w:val="24"/>
        </w:rPr>
        <w:t>- 5 лк - опасных зон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устройстве освещения должны быть учтены требования п. 4.3.15. "Акт готовности..." согласно п. 4.3.1 в этом случае должен подписываться энергетиком и руководителем работ на объекте со стороны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Подготовка ствола скважины, в т.ч. скважинной жидкости, должна обеспечивать возможность беспрепятственного спуска и подъема ПВА. При необходимости выполнения ПВР в скважинах, в которых встречаются осложнения, опасные по прихватам аппаратов, ПВР могут проводиться по проектам, согласуемым и утверждаемым главными инженерами заказчика и подрядчика согласно п. 4.1.3, при обязательном присутствии их ответственных представителей в течение всего времени работ.</w:t>
      </w:r>
    </w:p>
    <w:p>
      <w:pPr>
        <w:spacing w:line="240" w:lineRule="auto"/>
        <w:rPr>
          <w:rFonts w:hAnsi="Times New Roman" w:cs="Times New Roman"/>
          <w:color w:val="000000"/>
          <w:sz w:val="24"/>
          <w:szCs w:val="24"/>
        </w:rPr>
      </w:pPr>
      <w:r>
        <w:rPr>
          <w:rFonts w:hAnsi="Times New Roman" w:cs="Times New Roman"/>
          <w:color w:val="000000"/>
          <w:sz w:val="24"/>
          <w:szCs w:val="24"/>
        </w:rPr>
        <w:t>4.4.7. При выполнении ПВР, связанных с вскрытием продуктивных нефтегазовых пластов, устье скважины должно быть оборудовано перфораторной задвижкой.</w:t>
      </w:r>
    </w:p>
    <w:p>
      <w:pPr>
        <w:spacing w:line="240" w:lineRule="auto"/>
        <w:rPr>
          <w:rFonts w:hAnsi="Times New Roman" w:cs="Times New Roman"/>
          <w:color w:val="000000"/>
          <w:sz w:val="24"/>
          <w:szCs w:val="24"/>
        </w:rPr>
      </w:pPr>
      <w:r>
        <w:rPr>
          <w:rFonts w:hAnsi="Times New Roman" w:cs="Times New Roman"/>
          <w:color w:val="000000"/>
          <w:sz w:val="24"/>
          <w:szCs w:val="24"/>
        </w:rPr>
        <w:t>4.4.8. При выполнении ПВР в сухих газирующих и поглощающих раствор скважинах, в условиях депрессии, в газовой среде под давлением, в фонтанирующих скважинах устье скважины должно оборудоваться фонтанной арматурой и лубрикаторными устройствами, обеспечивающими герметизацию при спуске, отстреле и подъеме ПВА.</w:t>
      </w:r>
    </w:p>
    <w:p>
      <w:pPr>
        <w:spacing w:line="240" w:lineRule="auto"/>
        <w:rPr>
          <w:rFonts w:hAnsi="Times New Roman" w:cs="Times New Roman"/>
          <w:color w:val="000000"/>
          <w:sz w:val="24"/>
          <w:szCs w:val="24"/>
        </w:rPr>
      </w:pPr>
      <w:r>
        <w:rPr>
          <w:rFonts w:hAnsi="Times New Roman" w:cs="Times New Roman"/>
          <w:color w:val="000000"/>
          <w:sz w:val="24"/>
          <w:szCs w:val="24"/>
        </w:rPr>
        <w:t>4.4.9. Оборудование скважин для выполнения спуско - подъемных операций и промывки должно быть исправным и находиться в рабочем состоянии в течение всего времени проведения ПВР.</w:t>
      </w:r>
    </w:p>
    <w:p>
      <w:pPr>
        <w:spacing w:line="240" w:lineRule="auto"/>
        <w:rPr>
          <w:rFonts w:hAnsi="Times New Roman" w:cs="Times New Roman"/>
          <w:color w:val="000000"/>
          <w:sz w:val="24"/>
          <w:szCs w:val="24"/>
        </w:rPr>
      </w:pPr>
      <w:r>
        <w:rPr>
          <w:rFonts w:hAnsi="Times New Roman" w:cs="Times New Roman"/>
          <w:color w:val="000000"/>
          <w:sz w:val="24"/>
          <w:szCs w:val="24"/>
        </w:rPr>
        <w:t>4.4.10. В части оборудования скважины устройствами для крепления блоков, датчиков, площадками для их обслуживания, трапами, лестницами и другими неспецифичными для ПВР устройствами и их последующей эксплуатации, а также эксплуатации устройств и приборов контроля за спуско - подъемными операциями с ПВА должны в полной мере выполняться требования действующих "Правил безопасности на геологоразведочных работах" и "Правил безопасности в нефтяной и газовой промышленности" .</w:t>
      </w:r>
    </w:p>
    <w:p>
      <w:pPr>
        <w:spacing w:line="240" w:lineRule="auto"/>
        <w:rPr>
          <w:rFonts w:hAnsi="Times New Roman" w:cs="Times New Roman"/>
          <w:color w:val="000000"/>
          <w:sz w:val="24"/>
          <w:szCs w:val="24"/>
        </w:rPr>
      </w:pPr>
      <w:r>
        <w:rPr>
          <w:rFonts w:hAnsi="Times New Roman" w:cs="Times New Roman"/>
          <w:color w:val="000000"/>
          <w:sz w:val="24"/>
          <w:szCs w:val="24"/>
        </w:rPr>
        <w:t>4.4.11. При использовании электрического способа взрывания состояние электрооборудования скважины, исправность заземляющих устройств, устройств защитного отключения, непрерывного контроля изоляции должны быть проверены на соответствие требованиям ПУЭ, ПТЭ и ПТБЭ, требованиям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4.4.12. Независимо от наличия электроустановок на скважине все металлоконструкции скважины, в т.ч. обсадная и эксплуатационные колонны, должны иметь надежную металлическую связь между собой и заземлены на единый заземлитель (контур заземления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4.4.13. Для подключения геофизического оборудования и аппаратуры к силовой и осветительной сети скважины должна быть установлена электрическая точка - щит с отключающим устройством и унифицированной четырехполюсной розеткой на напряжение 380 В и трехполюсной - на 220 В с заземляющими контактами.</w:t>
      </w:r>
    </w:p>
    <w:p>
      <w:pPr>
        <w:spacing w:line="240" w:lineRule="auto"/>
        <w:rPr>
          <w:rFonts w:hAnsi="Times New Roman" w:cs="Times New Roman"/>
          <w:color w:val="000000"/>
          <w:sz w:val="24"/>
          <w:szCs w:val="24"/>
        </w:rPr>
      </w:pPr>
      <w:r>
        <w:rPr>
          <w:rFonts w:hAnsi="Times New Roman" w:cs="Times New Roman"/>
          <w:color w:val="000000"/>
          <w:sz w:val="24"/>
          <w:szCs w:val="24"/>
        </w:rPr>
        <w:t>4.4.14. Для подсоединения винтовым соединением отдельных заземляющих проводников геофизического оборудования - подъемника, ЛПС, контейнера - на металлоконструкции скважины в легкодоступном, хорошо видимом месте знаком «Земля» должно быть обозначено место подключения.</w:t>
      </w:r>
    </w:p>
    <w:p>
      <w:pPr>
        <w:spacing w:line="240" w:lineRule="auto"/>
        <w:rPr>
          <w:rFonts w:hAnsi="Times New Roman" w:cs="Times New Roman"/>
          <w:color w:val="000000"/>
          <w:sz w:val="24"/>
          <w:szCs w:val="24"/>
        </w:rPr>
      </w:pPr>
      <w:r>
        <w:rPr>
          <w:rFonts w:hAnsi="Times New Roman" w:cs="Times New Roman"/>
          <w:color w:val="000000"/>
          <w:sz w:val="24"/>
          <w:szCs w:val="24"/>
        </w:rPr>
        <w:t>4.4.15. В случае освещения площадок взрывных работ светильниками на напряжение до 36 В последние могут находиться в пределах площадок. Светильники при этом должны быть закрытого типа, а источник тока находиться на расстоянии не менее 20 м от мест нахождения ВМ и ЭВС. При изолированной от земли обмотке источника питания допускается использование напряжения до 220 В. Допускается применение прожекторов для освещения площадок. Напряжение питания и режим нейтрали при этом не регламентируется. Прожекторы и их электроаппаратура должны размещаться на расстоянии не менее 20 м от мест нахождения ВМ и ЭВС, а свет направляться так, чтобы не ослеплять выполняющий ПВР персонал.</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ПВР в скважинах должны проводиться в соответствии с техническим проектом на производство ПВР.</w:t>
      </w:r>
    </w:p>
    <w:p>
      <w:pPr>
        <w:spacing w:line="240" w:lineRule="auto"/>
        <w:rPr>
          <w:rFonts w:hAnsi="Times New Roman" w:cs="Times New Roman"/>
          <w:color w:val="000000"/>
          <w:sz w:val="24"/>
          <w:szCs w:val="24"/>
        </w:rPr>
      </w:pPr>
      <w:r>
        <w:rPr>
          <w:rFonts w:hAnsi="Times New Roman" w:cs="Times New Roman"/>
          <w:color w:val="000000"/>
          <w:sz w:val="24"/>
          <w:szCs w:val="24"/>
        </w:rPr>
        <w:t>5.1.2. Технический проект на производство ПВР разрабатывается геофизической организацией и согласовывается с буровой организацией и организацией, эксплуатирующей ОПО.</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ПВР в составе сложных технологий испытания и освоения скважин, требующих непосредственного взаимодействия работников подрядчика и заказчика, работы должны выполняться по планам, утвержденным их руководителями.</w:t>
      </w:r>
    </w:p>
    <w:p>
      <w:pPr>
        <w:spacing w:line="240" w:lineRule="auto"/>
        <w:rPr>
          <w:rFonts w:hAnsi="Times New Roman" w:cs="Times New Roman"/>
          <w:color w:val="000000"/>
          <w:sz w:val="24"/>
          <w:szCs w:val="24"/>
        </w:rPr>
      </w:pPr>
      <w:r>
        <w:rPr>
          <w:rFonts w:hAnsi="Times New Roman" w:cs="Times New Roman"/>
          <w:color w:val="000000"/>
          <w:sz w:val="24"/>
          <w:szCs w:val="24"/>
        </w:rPr>
        <w:t>5.1.3. Руководитель подразделения по выполнению ПВР (начальник партии, отряда) должен иметь право ответственного руководства взрывными работами. Руководитель взрывных работ, выполняемых с применением электровзрывания, должен пройти обучение электробезопасности с присвоением квалификационной группы по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5.1.4. Непосредственную работу с ВМ могут выполнять только взрывники. Отдельные операции по работе с ПВА, не связанные с обращением со средствами инициирования, монтажом и проверкой электровзрывной сети, обращением с отказавшими ПВА, могут выполнять проинструктированные рабочие геофизических организаций под непосредственным руководством взрывника или руководителя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5.1.5. Обслуживающие не геофизическое оборудование работники, привлекаемые для выполнения спускоподъемных операций и задействования аппаратов, спускаемых на НКТ или бурильных трубах, должны быть проинструктированы руководителем взрывных работ в части мер безопасности и работать под его наблюдением.</w:t>
      </w:r>
    </w:p>
    <w:p>
      <w:pPr>
        <w:spacing w:line="240" w:lineRule="auto"/>
        <w:rPr>
          <w:rFonts w:hAnsi="Times New Roman" w:cs="Times New Roman"/>
          <w:color w:val="000000"/>
          <w:sz w:val="24"/>
          <w:szCs w:val="24"/>
        </w:rPr>
      </w:pPr>
      <w:r>
        <w:rPr>
          <w:rFonts w:hAnsi="Times New Roman" w:cs="Times New Roman"/>
          <w:color w:val="000000"/>
          <w:sz w:val="24"/>
          <w:szCs w:val="24"/>
        </w:rPr>
        <w:t>5.1.6. Условия применения ПВА в скважинах (максимальные температура и гидростатическое давление, минимальный проходной диаметр и другие параметры) должны строго соответствовать допускаемым эксплуатационной документацией на конкретную ПВА. В скважинах с температурой и давлением в интервале перфорации (интенсификации) на уровне предельно допустимых (+/-10%) для применяемой аппаратуры обязательно проведение измерений этих параметров перед спуском ПВА.</w:t>
      </w:r>
    </w:p>
    <w:p>
      <w:pPr>
        <w:spacing w:line="240" w:lineRule="auto"/>
        <w:rPr>
          <w:rFonts w:hAnsi="Times New Roman" w:cs="Times New Roman"/>
          <w:color w:val="000000"/>
          <w:sz w:val="24"/>
          <w:szCs w:val="24"/>
        </w:rPr>
      </w:pPr>
      <w:r>
        <w:rPr>
          <w:rFonts w:hAnsi="Times New Roman" w:cs="Times New Roman"/>
          <w:color w:val="000000"/>
          <w:sz w:val="24"/>
          <w:szCs w:val="24"/>
        </w:rPr>
        <w:t>5.1.7. Приступать к выполнению ПВР на скважине разрешается только после окончания работ по подготовке ее территории, ствола и оборудования к ПВР, подтвержденного Актом готовности скважины для производства ПВР.</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ПВР устье скважины должно оборудоваться запорной арматурой и лубрикаторными устройствами, обеспечивающими герметизацию устья при спуске, срабатывании и подъеме ПВА.</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ПВР в процессе ремонта скважин с пластовым давлением, превышающим гидростатическое, устье скважины должно оборудоваться ПВО.</w:t>
      </w:r>
    </w:p>
    <w:p>
      <w:pPr>
        <w:spacing w:line="240" w:lineRule="auto"/>
        <w:rPr>
          <w:rFonts w:hAnsi="Times New Roman" w:cs="Times New Roman"/>
          <w:color w:val="000000"/>
          <w:sz w:val="24"/>
          <w:szCs w:val="24"/>
        </w:rPr>
      </w:pPr>
      <w:r>
        <w:rPr>
          <w:rFonts w:hAnsi="Times New Roman" w:cs="Times New Roman"/>
          <w:color w:val="000000"/>
          <w:sz w:val="24"/>
          <w:szCs w:val="24"/>
        </w:rPr>
        <w:t>Монтаж и схема обвязки этого оборудования должны быть согласованы с ПАСФ. Необходимость монтажа ПВО должна быть указана в плане работ на производство капитального ремонта скважины. Допускается проведение ПВР в ремонтируемых скважинах без установки ПВО на устье при: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величине пластового давления вскрываемого (вскрытого) нефтеносного пласта, исключающего возможность самопроизвольного притока нефти из пласта в скважину, и отсутствии заколонных перетоков во всех вышележащих зонах;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ведении взрывных работ (например, отсоединение от аварийного инструмента) при наличии цементного моста в обсадной колонне, перекрывающего продуктивные горизонты.</w:t>
      </w:r>
    </w:p>
    <w:p>
      <w:pPr>
        <w:spacing w:line="240" w:lineRule="auto"/>
        <w:rPr>
          <w:rFonts w:hAnsi="Times New Roman" w:cs="Times New Roman"/>
          <w:color w:val="000000"/>
          <w:sz w:val="24"/>
          <w:szCs w:val="24"/>
        </w:rPr>
      </w:pPr>
      <w:r>
        <w:rPr>
          <w:rFonts w:hAnsi="Times New Roman" w:cs="Times New Roman"/>
          <w:color w:val="000000"/>
          <w:sz w:val="24"/>
          <w:szCs w:val="24"/>
        </w:rPr>
        <w:t>5.1.9. Контрольное шаблонирование ствола скважины необходимо выполнять посредством спуска на кабеле шаблона, диаметр, масса и длина которого должны соответствовать габаритно-массовым техническим характеристикам применяемых ПВА. При использовании ПВА нежесткой конструкции (бескорпусных перфораторов, пороховых генераторов давления, шнуровых торпед и других видов аппаратуры) ограничения по длине шаблона не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5.1.10. Независимо от наличия электроустановок все металлоконструкции скважины должны иметь надежную металлическую связь между собой и быть заземлены на единый заземлитель (контур заземления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5.1.11. На скважине должны быть подготовлены площадки для работ по снаряжению и заряжанию ПВА. Эти площадки должны быть удалены от жилых и бытовых помещений не менее чем на 100 м, от устья скважины не менее чем на 50 м. При зарядке ПВА в лаборатории перфораторной станции - не менее чем на 20 м от устья скважины.</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невозможности обеспечения указанных расстояний размещение площадки должно быть выбрано с учетом минимального риска, обосновано и указано в проекте на производство ПВР.</w:t>
      </w:r>
    </w:p>
    <w:p>
      <w:pPr>
        <w:spacing w:line="240" w:lineRule="auto"/>
        <w:rPr>
          <w:rFonts w:hAnsi="Times New Roman" w:cs="Times New Roman"/>
          <w:color w:val="000000"/>
          <w:sz w:val="24"/>
          <w:szCs w:val="24"/>
        </w:rPr>
      </w:pPr>
      <w:r>
        <w:rPr>
          <w:rFonts w:hAnsi="Times New Roman" w:cs="Times New Roman"/>
          <w:color w:val="000000"/>
          <w:sz w:val="24"/>
          <w:szCs w:val="24"/>
        </w:rPr>
        <w:t>5.1.12. Вокруг мест работы с ВМ и ПВА должны быть выставлены знаки обозначения границ опасных зон взрывных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 снаряжения ПВА - радиусом не менее 20 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устья скважины - радиусом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5.1.13. Для подсоединений отдельных заземляющих проводников геофизического оборудования на контур заземления скважины или металлоконструкции скважины в легкодоступном, хорошо видимом месте знаком "Земля" должна быть обозначена точка подключения.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5.1.14. При использовании электрического метода взрывания должны выполняться меры по защите от блуждающих токов. В особых случаях, при невозможности их выполнения, работу со средствами инициирования и по монтажу электровзрывной сети необходимо вести при соблюдении специальных мер, разрабатываемых геофизическими организациями и отражаемых в техническом проекте на производство ПВР. При этом в первую очередь должно предусматриваться применение технических средств защиты от блуждающих токов - защищенных систем электровзрывания, блокировок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Проверка исправности полностью смонтированной электровзрывной сети должна выполняться измерением ее сопротивления после спуска аппарата на глубину не менее 50 м. После этого радиус опасной зоны вокруг устья скважины может быть уменьшен по указанию руководителя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5.1.16. При подъеме задействованной ПВА в случае отсутствия аппаратурного контроля за фактом и полнотой взрывания, вплоть до осмотра ПВА взрывником, режим опасной зоны вокруг устья скважины должен сохраняться.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каротажником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Контрольное шаблонирование ствола скважины необходимо выполнять спуском на кабеле шаблона, диаметр, масса и длина которого должны соответствовать габаритно - массовым техническим характеристикам применяемых ПВА. При использовании ПВА нежесткой конструкции - бескорпусных перфораторов, пороховых генераторов давления, шнуровых торпед и др. - ограничения по длине шаблона не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если прострелочный или взрывной аппарат не может пройти в скважину до заданной глубины, он должен быть извлечен из скважины. При этом у устья может находиться только персонал взрывной бригады и работающие на подъемных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невозможности освобождения прихваченного или заклинившего аппарата с ВМ путем "расхаживания" дальнейшие работы должны проводиться по плану, согласованному ответственными представителями заказчика и подрядчика под их непосредственным руководством.</w:t>
      </w:r>
    </w:p>
    <w:p>
      <w:pPr>
        <w:spacing w:line="240" w:lineRule="auto"/>
        <w:rPr>
          <w:rFonts w:hAnsi="Times New Roman" w:cs="Times New Roman"/>
          <w:color w:val="000000"/>
          <w:sz w:val="24"/>
          <w:szCs w:val="24"/>
        </w:rPr>
      </w:pPr>
      <w:r>
        <w:rPr>
          <w:rFonts w:hAnsi="Times New Roman" w:cs="Times New Roman"/>
          <w:color w:val="000000"/>
          <w:sz w:val="24"/>
          <w:szCs w:val="24"/>
        </w:rPr>
        <w:t>6.2.4. При отказе во взрывании или подозрении на отказ взрывной прибор должен быть отсоединен от ЭВС, провода ее закорочены на время не менее 1 минуты, а затем вновь разомкнуты, после чего только можно приступать к подъему аппарата. При достижении глубины 50 м вновь необходимо произвести обесточивание электроустановок на скважине.</w:t>
      </w:r>
    </w:p>
    <w:p>
      <w:pPr>
        <w:spacing w:line="240" w:lineRule="auto"/>
        <w:rPr>
          <w:rFonts w:hAnsi="Times New Roman" w:cs="Times New Roman"/>
          <w:color w:val="000000"/>
          <w:sz w:val="24"/>
          <w:szCs w:val="24"/>
        </w:rPr>
      </w:pPr>
      <w:r>
        <w:rPr>
          <w:rFonts w:hAnsi="Times New Roman" w:cs="Times New Roman"/>
          <w:color w:val="000000"/>
          <w:sz w:val="24"/>
          <w:szCs w:val="24"/>
        </w:rPr>
        <w:t>.62.5. Поднятый после отказа при взрывании корпусной аппарат должен быть отсоединен от кабеля и отнесен на место снаряжения. В случае, если по результатам проверки кабеля, соединительных проводов и взрывного прибора будет установлена их исправность, аппарат должен быть разряжен в последовательности, обратной заряжанию.</w:t>
      </w:r>
    </w:p>
    <w:p>
      <w:pPr>
        <w:spacing w:line="240" w:lineRule="auto"/>
        <w:rPr>
          <w:rFonts w:hAnsi="Times New Roman" w:cs="Times New Roman"/>
          <w:color w:val="000000"/>
          <w:sz w:val="24"/>
          <w:szCs w:val="24"/>
        </w:rPr>
      </w:pPr>
      <w:r>
        <w:rPr>
          <w:rFonts w:hAnsi="Times New Roman" w:cs="Times New Roman"/>
          <w:color w:val="000000"/>
          <w:sz w:val="24"/>
          <w:szCs w:val="24"/>
        </w:rPr>
        <w:t>6.2.6. В поднятом после отказа бескорпусном аппарате необходимо, не извлекая, по возможности, аппарат из скважины, отсоединить от токоввода провод ЭСИ, временно заизолировать его конец, извлечь, при возможности, из аппарата ЭСИ и только после этого приступить к выяснению причин отказа.</w:t>
      </w:r>
    </w:p>
    <w:p>
      <w:pPr>
        <w:spacing w:line="240" w:lineRule="auto"/>
        <w:rPr>
          <w:rFonts w:hAnsi="Times New Roman" w:cs="Times New Roman"/>
          <w:color w:val="000000"/>
          <w:sz w:val="24"/>
          <w:szCs w:val="24"/>
        </w:rPr>
      </w:pPr>
      <w:r>
        <w:rPr>
          <w:rFonts w:hAnsi="Times New Roman" w:cs="Times New Roman"/>
          <w:color w:val="000000"/>
          <w:sz w:val="24"/>
          <w:szCs w:val="24"/>
        </w:rPr>
        <w:t>6.2.7. Повторный спуск аппаратов после отказа во взрывании допускается в случае, если причиной отказа явилась неисправность ЭВС.</w:t>
      </w:r>
    </w:p>
    <w:p>
      <w:pPr>
        <w:spacing w:line="240" w:lineRule="auto"/>
        <w:rPr>
          <w:rFonts w:hAnsi="Times New Roman" w:cs="Times New Roman"/>
          <w:color w:val="000000"/>
          <w:sz w:val="24"/>
          <w:szCs w:val="24"/>
        </w:rPr>
      </w:pPr>
      <w:r>
        <w:rPr>
          <w:rFonts w:hAnsi="Times New Roman" w:cs="Times New Roman"/>
          <w:color w:val="000000"/>
          <w:sz w:val="24"/>
          <w:szCs w:val="24"/>
        </w:rPr>
        <w:t>6.2.8. ВМ, извлеченные из отказавших при взрывании аппаратов или оставшиеся при неполном взрыве, к повторному применению не допускаются и должны быть возвращены на склад для последующего уничтожения. В местах временного хранения на скважине они должны помещаться в отдельную тару с соответствующей предупредительной надписью.</w:t>
      </w:r>
    </w:p>
    <w:p>
      <w:pPr>
        <w:spacing w:line="240" w:lineRule="auto"/>
        <w:rPr>
          <w:rFonts w:hAnsi="Times New Roman" w:cs="Times New Roman"/>
          <w:color w:val="000000"/>
          <w:sz w:val="24"/>
          <w:szCs w:val="24"/>
        </w:rPr>
      </w:pPr>
      <w:r>
        <w:rPr>
          <w:rFonts w:hAnsi="Times New Roman" w:cs="Times New Roman"/>
          <w:color w:val="000000"/>
          <w:sz w:val="24"/>
          <w:szCs w:val="24"/>
        </w:rPr>
        <w:t>6.2.9. Допускается повторное использование зарядов ВВ, кроме входящих в детонационную цепь аппарата и СИ, извлеченных из корпусных, не потерявших герметичность аппаратов, причиной отказа которых явился отказ СИ.</w:t>
      </w:r>
    </w:p>
    <w:p>
      <w:pPr>
        <w:spacing w:line="240" w:lineRule="auto"/>
        <w:rPr>
          <w:rFonts w:hAnsi="Times New Roman" w:cs="Times New Roman"/>
          <w:color w:val="000000"/>
          <w:sz w:val="24"/>
          <w:szCs w:val="24"/>
        </w:rPr>
      </w:pPr>
      <w:r>
        <w:rPr>
          <w:rFonts w:hAnsi="Times New Roman" w:cs="Times New Roman"/>
          <w:color w:val="000000"/>
          <w:sz w:val="24"/>
          <w:szCs w:val="24"/>
        </w:rPr>
        <w:t>6.10. Во всех случаях подъема на поверхность аппаратов, пробывших в скважинах время, превышающее определенное эксплуатационной документацией с учетом термостойкости, извлеченные из аппаратов ВМ не подлежат повторному применению и должны быть уничтожены.</w:t>
      </w:r>
    </w:p>
    <w:p>
      <w:pPr>
        <w:spacing w:line="240" w:lineRule="auto"/>
        <w:rPr>
          <w:rFonts w:hAnsi="Times New Roman" w:cs="Times New Roman"/>
          <w:color w:val="000000"/>
          <w:sz w:val="24"/>
          <w:szCs w:val="24"/>
        </w:rPr>
      </w:pPr>
      <w:r>
        <w:rPr>
          <w:rFonts w:hAnsi="Times New Roman" w:cs="Times New Roman"/>
          <w:color w:val="000000"/>
          <w:sz w:val="24"/>
          <w:szCs w:val="24"/>
        </w:rPr>
        <w:t>6.2.11. В случае невозможности извлечения СИ из отказавших аппаратов вследствие их деформации аппараты должны уничтожаться на месте производства работ. Здесь же могут уничтожаться и ВМ, извлеченные из отказавших аппаратов или получившие повреждения при доставке на скважину и в процессе обращения с ними.</w:t>
      </w:r>
    </w:p>
    <w:p>
      <w:pPr>
        <w:spacing w:line="240" w:lineRule="auto"/>
        <w:rPr>
          <w:rFonts w:hAnsi="Times New Roman" w:cs="Times New Roman"/>
          <w:color w:val="000000"/>
          <w:sz w:val="24"/>
          <w:szCs w:val="24"/>
        </w:rPr>
      </w:pPr>
      <w:r>
        <w:rPr>
          <w:rFonts w:hAnsi="Times New Roman" w:cs="Times New Roman"/>
          <w:color w:val="000000"/>
          <w:sz w:val="24"/>
          <w:szCs w:val="24"/>
        </w:rPr>
        <w:t>6.2.12. На месте уничтожения должны быть подготовлены шурфы (канавы), закрывающиеся щитами, либо оборудованы укрытия для персонала, соблюдаться безопасные расстояния в соответствии с требованиями эксплуатационной документации на уничтожаемые изделия и действующих ЕПБВР.</w:t>
      </w:r>
    </w:p>
    <w:p>
      <w:pPr>
        <w:spacing w:line="240" w:lineRule="auto"/>
        <w:rPr>
          <w:rFonts w:hAnsi="Times New Roman" w:cs="Times New Roman"/>
          <w:color w:val="000000"/>
          <w:sz w:val="24"/>
          <w:szCs w:val="24"/>
        </w:rPr>
      </w:pPr>
      <w:r>
        <w:rPr>
          <w:rFonts w:hAnsi="Times New Roman" w:cs="Times New Roman"/>
          <w:color w:val="000000"/>
          <w:sz w:val="24"/>
          <w:szCs w:val="24"/>
        </w:rPr>
        <w:t>6.2.13. При работах на ПБУ и МСП подлежащие уничтожению на месте работ ВМ и ПВА должны быть отбуксированы вспомогательным судном на плотике на расстояние не менее 100 м. При этом:</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грузоподъемность плотика должна не менее чем вдвое превышать массу уничтожаемых ПВА;</w:t>
      </w:r>
    </w:p>
    <w:p>
      <w:pPr>
        <w:spacing w:line="240" w:lineRule="auto"/>
        <w:rPr>
          <w:rFonts w:hAnsi="Times New Roman" w:cs="Times New Roman"/>
          <w:color w:val="000000"/>
          <w:sz w:val="24"/>
          <w:szCs w:val="24"/>
        </w:rPr>
      </w:pPr>
      <w:r>
        <w:rPr>
          <w:rFonts w:hAnsi="Times New Roman" w:cs="Times New Roman"/>
          <w:color w:val="000000"/>
          <w:sz w:val="24"/>
          <w:szCs w:val="24"/>
        </w:rPr>
        <w:t>- плотик должен быть оборудован бортами;</w:t>
      </w:r>
    </w:p>
    <w:p>
      <w:pPr>
        <w:spacing w:line="240" w:lineRule="auto"/>
        <w:rPr>
          <w:rFonts w:hAnsi="Times New Roman" w:cs="Times New Roman"/>
          <w:color w:val="000000"/>
          <w:sz w:val="24"/>
          <w:szCs w:val="24"/>
        </w:rPr>
      </w:pPr>
      <w:r>
        <w:rPr>
          <w:rFonts w:hAnsi="Times New Roman" w:cs="Times New Roman"/>
          <w:color w:val="000000"/>
          <w:sz w:val="24"/>
          <w:szCs w:val="24"/>
        </w:rPr>
        <w:t>- буксирный трос должен быть длиной не менее 100 м;</w:t>
      </w:r>
    </w:p>
    <w:p>
      <w:pPr>
        <w:spacing w:line="240" w:lineRule="auto"/>
        <w:rPr>
          <w:rFonts w:hAnsi="Times New Roman" w:cs="Times New Roman"/>
          <w:color w:val="000000"/>
          <w:sz w:val="24"/>
          <w:szCs w:val="24"/>
        </w:rPr>
      </w:pPr>
      <w:r>
        <w:rPr>
          <w:rFonts w:hAnsi="Times New Roman" w:cs="Times New Roman"/>
          <w:color w:val="000000"/>
          <w:sz w:val="24"/>
          <w:szCs w:val="24"/>
        </w:rPr>
        <w:t>- электровзрывная магистраль должна монтироваться на отдельном страховочном тросе.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4daf403ab0e4c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